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3A63D">
      <w:pPr>
        <w:jc w:val="left"/>
        <w:rPr>
          <w:rFonts w:hint="eastAsia"/>
          <w:b/>
          <w:sz w:val="24"/>
          <w:szCs w:val="24"/>
          <w:lang w:val="en-US" w:eastAsia="zh-CN"/>
        </w:rPr>
      </w:pPr>
      <w:r>
        <w:rPr>
          <w:rFonts w:hint="eastAsia"/>
          <w:b/>
          <w:sz w:val="24"/>
          <w:szCs w:val="24"/>
        </w:rPr>
        <w:t>附件3：</w:t>
      </w:r>
      <w:r>
        <w:rPr>
          <w:rFonts w:hint="eastAsia"/>
          <w:b/>
          <w:sz w:val="24"/>
          <w:szCs w:val="24"/>
          <w:lang w:val="en-US" w:eastAsia="zh-CN"/>
        </w:rPr>
        <w:t xml:space="preserve">        2025年白润美女神节小红书IP推广和下半年小红书种草推广合作评分表</w:t>
      </w:r>
    </w:p>
    <w:tbl>
      <w:tblPr>
        <w:tblStyle w:val="6"/>
        <w:tblpPr w:leftFromText="180" w:rightFromText="180" w:vertAnchor="page" w:horzAnchor="page" w:tblpX="544" w:tblpY="1293"/>
        <w:tblW w:w="104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8"/>
        <w:gridCol w:w="8140"/>
        <w:gridCol w:w="658"/>
        <w:gridCol w:w="561"/>
      </w:tblGrid>
      <w:tr w14:paraId="22F9F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058" w:type="dxa"/>
            <w:vAlign w:val="center"/>
          </w:tcPr>
          <w:p w14:paraId="67935DB9">
            <w:pPr>
              <w:jc w:val="center"/>
              <w:rPr>
                <w:rFonts w:asciiTheme="minorEastAsia" w:hAnsiTheme="minorEastAsia"/>
                <w:sz w:val="20"/>
                <w:szCs w:val="20"/>
              </w:rPr>
            </w:pPr>
            <w:r>
              <w:rPr>
                <w:rFonts w:hint="eastAsia" w:asciiTheme="minorEastAsia" w:hAnsiTheme="minorEastAsia"/>
                <w:sz w:val="20"/>
                <w:szCs w:val="20"/>
              </w:rPr>
              <w:t>分值板块</w:t>
            </w:r>
          </w:p>
        </w:tc>
        <w:tc>
          <w:tcPr>
            <w:tcW w:w="8140" w:type="dxa"/>
            <w:vAlign w:val="center"/>
          </w:tcPr>
          <w:p w14:paraId="7E2CE2D1">
            <w:pPr>
              <w:jc w:val="center"/>
              <w:rPr>
                <w:rFonts w:asciiTheme="minorEastAsia" w:hAnsiTheme="minorEastAsia"/>
                <w:sz w:val="20"/>
                <w:szCs w:val="20"/>
              </w:rPr>
            </w:pPr>
            <w:r>
              <w:rPr>
                <w:rFonts w:hint="eastAsia" w:asciiTheme="minorEastAsia" w:hAnsiTheme="minorEastAsia"/>
                <w:sz w:val="20"/>
                <w:szCs w:val="20"/>
              </w:rPr>
              <w:t>比选内容及标准</w:t>
            </w:r>
          </w:p>
        </w:tc>
        <w:tc>
          <w:tcPr>
            <w:tcW w:w="658" w:type="dxa"/>
            <w:vAlign w:val="center"/>
          </w:tcPr>
          <w:p w14:paraId="4B23B38D">
            <w:pPr>
              <w:jc w:val="center"/>
              <w:rPr>
                <w:rFonts w:hint="eastAsia" w:asciiTheme="minorEastAsia" w:hAnsiTheme="minorEastAsia"/>
                <w:sz w:val="20"/>
                <w:szCs w:val="20"/>
              </w:rPr>
            </w:pPr>
            <w:r>
              <w:rPr>
                <w:rFonts w:hint="eastAsia" w:asciiTheme="minorEastAsia" w:hAnsiTheme="minorEastAsia"/>
                <w:sz w:val="20"/>
                <w:szCs w:val="20"/>
              </w:rPr>
              <w:t>所占</w:t>
            </w:r>
          </w:p>
          <w:p w14:paraId="032392DA">
            <w:pPr>
              <w:jc w:val="center"/>
              <w:rPr>
                <w:rFonts w:asciiTheme="minorEastAsia" w:hAnsiTheme="minorEastAsia"/>
                <w:sz w:val="20"/>
                <w:szCs w:val="20"/>
              </w:rPr>
            </w:pPr>
            <w:r>
              <w:rPr>
                <w:rFonts w:hint="eastAsia" w:asciiTheme="minorEastAsia" w:hAnsiTheme="minorEastAsia"/>
                <w:sz w:val="20"/>
                <w:szCs w:val="20"/>
              </w:rPr>
              <w:t>分值</w:t>
            </w:r>
          </w:p>
        </w:tc>
        <w:tc>
          <w:tcPr>
            <w:tcW w:w="561" w:type="dxa"/>
            <w:vAlign w:val="center"/>
          </w:tcPr>
          <w:p w14:paraId="24564DF9">
            <w:pPr>
              <w:jc w:val="center"/>
              <w:rPr>
                <w:rFonts w:asciiTheme="minorEastAsia" w:hAnsiTheme="minorEastAsia"/>
                <w:sz w:val="20"/>
                <w:szCs w:val="20"/>
              </w:rPr>
            </w:pPr>
            <w:r>
              <w:rPr>
                <w:rFonts w:hint="eastAsia" w:asciiTheme="minorEastAsia" w:hAnsiTheme="minorEastAsia"/>
                <w:sz w:val="20"/>
                <w:szCs w:val="20"/>
              </w:rPr>
              <w:t>得分</w:t>
            </w:r>
          </w:p>
        </w:tc>
      </w:tr>
      <w:tr w14:paraId="2AA4D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7" w:hRule="atLeast"/>
        </w:trPr>
        <w:tc>
          <w:tcPr>
            <w:tcW w:w="1058" w:type="dxa"/>
            <w:vAlign w:val="center"/>
          </w:tcPr>
          <w:p w14:paraId="4B83BCD7">
            <w:pPr>
              <w:jc w:val="center"/>
              <w:rPr>
                <w:rFonts w:hint="eastAsia" w:asciiTheme="minorEastAsia" w:hAnsiTheme="minorEastAsia"/>
                <w:sz w:val="20"/>
                <w:szCs w:val="20"/>
              </w:rPr>
            </w:pPr>
            <w:r>
              <w:rPr>
                <w:rFonts w:hint="eastAsia" w:asciiTheme="minorEastAsia" w:hAnsiTheme="minorEastAsia"/>
                <w:sz w:val="20"/>
                <w:szCs w:val="20"/>
              </w:rPr>
              <w:t>企业综合实力</w:t>
            </w:r>
          </w:p>
          <w:p w14:paraId="3137786F">
            <w:pPr>
              <w:jc w:val="center"/>
              <w:rPr>
                <w:rFonts w:asciiTheme="minorEastAsia" w:hAnsiTheme="minorEastAsia"/>
                <w:sz w:val="20"/>
                <w:szCs w:val="20"/>
              </w:rPr>
            </w:pPr>
            <w:r>
              <w:rPr>
                <w:rFonts w:hint="eastAsia" w:asciiTheme="minorEastAsia" w:hAnsiTheme="minorEastAsia"/>
                <w:sz w:val="20"/>
                <w:szCs w:val="20"/>
              </w:rPr>
              <w:t>（</w:t>
            </w:r>
            <w:r>
              <w:rPr>
                <w:rFonts w:asciiTheme="minorEastAsia" w:hAnsiTheme="minorEastAsia"/>
                <w:sz w:val="20"/>
                <w:szCs w:val="20"/>
              </w:rPr>
              <w:t>10</w:t>
            </w:r>
            <w:r>
              <w:rPr>
                <w:rFonts w:hint="eastAsia" w:asciiTheme="minorEastAsia" w:hAnsiTheme="minorEastAsia"/>
                <w:sz w:val="20"/>
                <w:szCs w:val="20"/>
              </w:rPr>
              <w:t>分）</w:t>
            </w:r>
          </w:p>
        </w:tc>
        <w:tc>
          <w:tcPr>
            <w:tcW w:w="8140" w:type="dxa"/>
            <w:vAlign w:val="center"/>
          </w:tcPr>
          <w:p w14:paraId="1A07819B">
            <w:pPr>
              <w:pStyle w:val="8"/>
              <w:numPr>
                <w:ilvl w:val="0"/>
                <w:numId w:val="0"/>
              </w:numPr>
              <w:ind w:leftChars="0"/>
              <w:jc w:val="left"/>
              <w:rPr>
                <w:rFonts w:hint="eastAsia" w:asciiTheme="minorEastAsia" w:hAnsiTheme="minorEastAsia"/>
                <w:color w:val="auto"/>
                <w:szCs w:val="21"/>
                <w:highlight w:val="none"/>
                <w:lang w:val="en-US" w:eastAsia="zh-CN"/>
              </w:rPr>
            </w:pPr>
            <w:r>
              <w:rPr>
                <w:rFonts w:hint="eastAsia" w:asciiTheme="minorEastAsia" w:hAnsiTheme="minorEastAsia"/>
                <w:kern w:val="0"/>
                <w:sz w:val="20"/>
                <w:szCs w:val="20"/>
                <w:highlight w:val="yellow"/>
                <w:lang w:val="en-US" w:eastAsia="zh-CN"/>
              </w:rPr>
              <w:t>1、</w:t>
            </w:r>
            <w:r>
              <w:rPr>
                <w:rFonts w:hint="eastAsia" w:asciiTheme="minorEastAsia" w:hAnsiTheme="minorEastAsia"/>
                <w:kern w:val="0"/>
                <w:sz w:val="20"/>
                <w:szCs w:val="20"/>
                <w:highlight w:val="yellow"/>
              </w:rPr>
              <w:t>公司近三年（202</w:t>
            </w:r>
            <w:r>
              <w:rPr>
                <w:rFonts w:hint="eastAsia" w:asciiTheme="minorEastAsia" w:hAnsiTheme="minorEastAsia"/>
                <w:kern w:val="0"/>
                <w:sz w:val="20"/>
                <w:szCs w:val="20"/>
                <w:highlight w:val="yellow"/>
                <w:lang w:val="en-US" w:eastAsia="zh-CN"/>
              </w:rPr>
              <w:t>2</w:t>
            </w:r>
            <w:r>
              <w:rPr>
                <w:rFonts w:hint="eastAsia" w:asciiTheme="minorEastAsia" w:hAnsiTheme="minorEastAsia"/>
                <w:kern w:val="0"/>
                <w:sz w:val="20"/>
                <w:szCs w:val="20"/>
                <w:highlight w:val="yellow"/>
              </w:rPr>
              <w:t>年</w:t>
            </w:r>
            <w:r>
              <w:rPr>
                <w:rFonts w:hint="eastAsia" w:asciiTheme="minorEastAsia" w:hAnsiTheme="minorEastAsia"/>
                <w:kern w:val="0"/>
                <w:sz w:val="20"/>
                <w:szCs w:val="20"/>
                <w:highlight w:val="yellow"/>
                <w:lang w:val="en-US" w:eastAsia="zh-CN"/>
              </w:rPr>
              <w:t>5</w:t>
            </w:r>
            <w:r>
              <w:rPr>
                <w:rFonts w:hint="eastAsia" w:asciiTheme="minorEastAsia" w:hAnsiTheme="minorEastAsia"/>
                <w:kern w:val="0"/>
                <w:sz w:val="20"/>
                <w:szCs w:val="20"/>
                <w:highlight w:val="yellow"/>
              </w:rPr>
              <w:t>月~至今）</w:t>
            </w:r>
            <w:r>
              <w:rPr>
                <w:rFonts w:hint="eastAsia" w:asciiTheme="minorEastAsia" w:hAnsiTheme="minorEastAsia"/>
                <w:kern w:val="0"/>
                <w:sz w:val="20"/>
                <w:szCs w:val="20"/>
                <w:highlight w:val="yellow"/>
                <w:lang w:val="en-US" w:eastAsia="zh-CN"/>
              </w:rPr>
              <w:t>小红书平台&amp;美妆类种草推广200</w:t>
            </w:r>
            <w:r>
              <w:rPr>
                <w:rFonts w:hint="eastAsia" w:asciiTheme="minorEastAsia" w:hAnsiTheme="minorEastAsia"/>
                <w:kern w:val="0"/>
                <w:sz w:val="20"/>
                <w:szCs w:val="20"/>
                <w:highlight w:val="yellow"/>
              </w:rPr>
              <w:t>万以上金额服务次数及合作方</w:t>
            </w:r>
            <w:r>
              <w:rPr>
                <w:rFonts w:hint="eastAsia" w:asciiTheme="minorEastAsia" w:hAnsiTheme="minorEastAsia"/>
                <w:b/>
                <w:bCs/>
                <w:kern w:val="0"/>
                <w:sz w:val="20"/>
                <w:szCs w:val="20"/>
                <w:highlight w:val="yellow"/>
                <w:lang w:eastAsia="zh-CN"/>
              </w:rPr>
              <w:t>【</w:t>
            </w:r>
            <w:r>
              <w:rPr>
                <w:rFonts w:hint="eastAsia" w:asciiTheme="minorEastAsia" w:hAnsiTheme="minorEastAsia"/>
                <w:b/>
                <w:bCs/>
                <w:kern w:val="0"/>
                <w:sz w:val="20"/>
                <w:szCs w:val="20"/>
                <w:highlight w:val="yellow"/>
              </w:rPr>
              <w:t>需附合同复印件证明并加盖公章，必须可辨别项目类别及体现合作方</w:t>
            </w:r>
            <w:r>
              <w:rPr>
                <w:rFonts w:hint="eastAsia" w:asciiTheme="minorEastAsia" w:hAnsiTheme="minorEastAsia"/>
                <w:b/>
                <w:bCs/>
                <w:kern w:val="0"/>
                <w:sz w:val="20"/>
                <w:szCs w:val="20"/>
                <w:highlight w:val="yellow"/>
                <w:lang w:val="en-US" w:eastAsia="zh-CN"/>
              </w:rPr>
              <w:t>、合同服务期限、合同</w:t>
            </w:r>
            <w:r>
              <w:rPr>
                <w:rFonts w:hint="eastAsia" w:asciiTheme="minorEastAsia" w:hAnsiTheme="minorEastAsia"/>
                <w:b/>
                <w:bCs/>
                <w:kern w:val="0"/>
                <w:sz w:val="20"/>
                <w:szCs w:val="20"/>
                <w:highlight w:val="yellow"/>
              </w:rPr>
              <w:t>金额</w:t>
            </w:r>
            <w:r>
              <w:rPr>
                <w:rFonts w:hint="eastAsia" w:asciiTheme="minorEastAsia" w:hAnsiTheme="minorEastAsia"/>
                <w:b/>
                <w:bCs/>
                <w:kern w:val="0"/>
                <w:sz w:val="20"/>
                <w:szCs w:val="20"/>
                <w:highlight w:val="yellow"/>
                <w:lang w:eastAsia="zh-CN"/>
              </w:rPr>
              <w:t>、</w:t>
            </w:r>
            <w:r>
              <w:rPr>
                <w:rFonts w:hint="eastAsia" w:asciiTheme="minorEastAsia" w:hAnsiTheme="minorEastAsia"/>
                <w:b/>
                <w:bCs/>
                <w:kern w:val="0"/>
                <w:sz w:val="20"/>
                <w:szCs w:val="20"/>
                <w:highlight w:val="yellow"/>
                <w:lang w:val="en-US" w:eastAsia="zh-CN"/>
              </w:rPr>
              <w:t>项目资源细目（不可遮挡覆盖资源类目、资源数量、资源合计价及总价），资料不全者不得分</w:t>
            </w:r>
            <w:r>
              <w:rPr>
                <w:rFonts w:hint="eastAsia" w:asciiTheme="minorEastAsia" w:hAnsiTheme="minorEastAsia"/>
                <w:kern w:val="0"/>
                <w:sz w:val="20"/>
                <w:szCs w:val="20"/>
                <w:highlight w:val="none"/>
                <w:lang w:val="en-US" w:eastAsia="zh-CN"/>
              </w:rPr>
              <w:t>。若200万以上金额服务次数为1次则得2分，0次得0分】：</w:t>
            </w:r>
          </w:p>
          <w:p w14:paraId="76A992EF">
            <w:pPr>
              <w:jc w:val="left"/>
              <w:rPr>
                <w:rFonts w:asciiTheme="minorEastAsia" w:hAnsiTheme="minorEastAsia"/>
                <w:sz w:val="20"/>
                <w:szCs w:val="20"/>
                <w:highlight w:val="none"/>
              </w:rPr>
            </w:pPr>
            <w:r>
              <w:rPr>
                <w:rFonts w:hint="eastAsia" w:asciiTheme="minorEastAsia" w:hAnsiTheme="minorEastAsia"/>
                <w:sz w:val="20"/>
                <w:szCs w:val="20"/>
                <w:highlight w:val="none"/>
              </w:rPr>
              <w:t>A、</w:t>
            </w:r>
            <w:r>
              <w:rPr>
                <w:rFonts w:hint="eastAsia" w:asciiTheme="minorEastAsia" w:hAnsiTheme="minorEastAsia"/>
                <w:kern w:val="0"/>
                <w:sz w:val="20"/>
                <w:szCs w:val="20"/>
                <w:highlight w:val="none"/>
              </w:rPr>
              <w:t>项目金额</w:t>
            </w:r>
            <w:r>
              <w:rPr>
                <w:rFonts w:hint="eastAsia" w:asciiTheme="minorEastAsia" w:hAnsiTheme="minorEastAsia"/>
                <w:kern w:val="0"/>
                <w:sz w:val="20"/>
                <w:szCs w:val="20"/>
                <w:highlight w:val="none"/>
                <w:lang w:val="en-US" w:eastAsia="zh-CN"/>
              </w:rPr>
              <w:t>200</w:t>
            </w:r>
            <w:r>
              <w:rPr>
                <w:rFonts w:hint="eastAsia" w:asciiTheme="minorEastAsia" w:hAnsiTheme="minorEastAsia"/>
                <w:sz w:val="20"/>
                <w:szCs w:val="20"/>
                <w:highlight w:val="none"/>
              </w:rPr>
              <w:t>万及以上≥2次，得</w:t>
            </w:r>
            <w:r>
              <w:rPr>
                <w:rFonts w:hint="eastAsia" w:asciiTheme="minorEastAsia" w:hAnsiTheme="minorEastAsia"/>
                <w:sz w:val="20"/>
                <w:szCs w:val="20"/>
                <w:highlight w:val="none"/>
                <w:lang w:val="en-US" w:eastAsia="zh-CN"/>
              </w:rPr>
              <w:t>3</w:t>
            </w:r>
            <w:r>
              <w:rPr>
                <w:rFonts w:hint="eastAsia" w:asciiTheme="minorEastAsia" w:hAnsiTheme="minorEastAsia"/>
                <w:sz w:val="20"/>
                <w:szCs w:val="20"/>
                <w:highlight w:val="none"/>
              </w:rPr>
              <w:t>分</w:t>
            </w:r>
            <w:r>
              <w:rPr>
                <w:rFonts w:asciiTheme="minorEastAsia" w:hAnsiTheme="minorEastAsia"/>
                <w:sz w:val="20"/>
                <w:szCs w:val="20"/>
                <w:highlight w:val="none"/>
              </w:rPr>
              <w:t>；</w:t>
            </w:r>
          </w:p>
          <w:p w14:paraId="25C62AD2">
            <w:pPr>
              <w:jc w:val="left"/>
              <w:rPr>
                <w:rFonts w:asciiTheme="minorEastAsia" w:hAnsiTheme="minorEastAsia"/>
                <w:sz w:val="20"/>
                <w:szCs w:val="20"/>
                <w:highlight w:val="none"/>
              </w:rPr>
            </w:pPr>
            <w:r>
              <w:rPr>
                <w:rFonts w:hint="eastAsia" w:asciiTheme="minorEastAsia" w:hAnsiTheme="minorEastAsia"/>
                <w:sz w:val="20"/>
                <w:szCs w:val="20"/>
                <w:highlight w:val="none"/>
              </w:rPr>
              <w:t>B、</w:t>
            </w:r>
            <w:r>
              <w:rPr>
                <w:rFonts w:hint="eastAsia" w:asciiTheme="minorEastAsia" w:hAnsiTheme="minorEastAsia"/>
                <w:kern w:val="0"/>
                <w:sz w:val="20"/>
                <w:szCs w:val="20"/>
                <w:highlight w:val="none"/>
              </w:rPr>
              <w:t>项目金额</w:t>
            </w:r>
            <w:r>
              <w:rPr>
                <w:rFonts w:hint="eastAsia" w:asciiTheme="minorEastAsia" w:hAnsiTheme="minorEastAsia"/>
                <w:kern w:val="0"/>
                <w:sz w:val="20"/>
                <w:szCs w:val="20"/>
                <w:highlight w:val="none"/>
                <w:lang w:val="en-US" w:eastAsia="zh-CN"/>
              </w:rPr>
              <w:t>400</w:t>
            </w:r>
            <w:r>
              <w:rPr>
                <w:rFonts w:hint="eastAsia" w:asciiTheme="minorEastAsia" w:hAnsiTheme="minorEastAsia"/>
                <w:sz w:val="20"/>
                <w:szCs w:val="20"/>
                <w:highlight w:val="none"/>
              </w:rPr>
              <w:t>万及以上≥2次，得</w:t>
            </w:r>
            <w:r>
              <w:rPr>
                <w:rFonts w:hint="eastAsia" w:asciiTheme="minorEastAsia" w:hAnsiTheme="minorEastAsia"/>
                <w:sz w:val="20"/>
                <w:szCs w:val="20"/>
                <w:highlight w:val="none"/>
                <w:lang w:val="en-US" w:eastAsia="zh-CN"/>
              </w:rPr>
              <w:t>6</w:t>
            </w:r>
            <w:r>
              <w:rPr>
                <w:rFonts w:hint="eastAsia" w:asciiTheme="minorEastAsia" w:hAnsiTheme="minorEastAsia"/>
                <w:sz w:val="20"/>
                <w:szCs w:val="20"/>
                <w:highlight w:val="none"/>
              </w:rPr>
              <w:t>分；</w:t>
            </w:r>
          </w:p>
          <w:p w14:paraId="731D10C7">
            <w:pPr>
              <w:jc w:val="left"/>
              <w:rPr>
                <w:rFonts w:asciiTheme="minorEastAsia" w:hAnsiTheme="minorEastAsia"/>
                <w:sz w:val="20"/>
                <w:szCs w:val="20"/>
              </w:rPr>
            </w:pPr>
            <w:r>
              <w:rPr>
                <w:rFonts w:hint="eastAsia" w:asciiTheme="minorEastAsia" w:hAnsiTheme="minorEastAsia"/>
                <w:sz w:val="20"/>
                <w:szCs w:val="20"/>
              </w:rPr>
              <w:t>C、</w:t>
            </w:r>
            <w:r>
              <w:rPr>
                <w:rFonts w:hint="eastAsia" w:asciiTheme="minorEastAsia" w:hAnsiTheme="minorEastAsia"/>
                <w:kern w:val="0"/>
                <w:sz w:val="20"/>
                <w:szCs w:val="20"/>
              </w:rPr>
              <w:t>项目金额</w:t>
            </w:r>
            <w:r>
              <w:rPr>
                <w:rFonts w:hint="eastAsia" w:asciiTheme="minorEastAsia" w:hAnsiTheme="minorEastAsia"/>
                <w:kern w:val="0"/>
                <w:sz w:val="20"/>
                <w:szCs w:val="20"/>
                <w:lang w:val="en-US" w:eastAsia="zh-CN"/>
              </w:rPr>
              <w:t>600</w:t>
            </w:r>
            <w:r>
              <w:rPr>
                <w:rFonts w:hint="eastAsia" w:asciiTheme="minorEastAsia" w:hAnsiTheme="minorEastAsia"/>
                <w:sz w:val="20"/>
                <w:szCs w:val="20"/>
              </w:rPr>
              <w:t>万及以上≥2次，得</w:t>
            </w:r>
            <w:r>
              <w:rPr>
                <w:rFonts w:hint="eastAsia" w:asciiTheme="minorEastAsia" w:hAnsiTheme="minorEastAsia"/>
                <w:sz w:val="20"/>
                <w:szCs w:val="20"/>
                <w:lang w:val="en-US" w:eastAsia="zh-CN"/>
              </w:rPr>
              <w:t>10</w:t>
            </w:r>
            <w:r>
              <w:rPr>
                <w:rFonts w:hint="eastAsia" w:asciiTheme="minorEastAsia" w:hAnsiTheme="minorEastAsia"/>
                <w:sz w:val="20"/>
                <w:szCs w:val="20"/>
              </w:rPr>
              <w:t>分。</w:t>
            </w:r>
          </w:p>
        </w:tc>
        <w:tc>
          <w:tcPr>
            <w:tcW w:w="658" w:type="dxa"/>
            <w:vAlign w:val="center"/>
          </w:tcPr>
          <w:p w14:paraId="1B345DED">
            <w:pPr>
              <w:jc w:val="center"/>
              <w:rPr>
                <w:rFonts w:hint="default" w:asciiTheme="minorEastAsia" w:hAnsiTheme="minorEastAsia" w:eastAsiaTheme="minorEastAsia"/>
                <w:sz w:val="20"/>
                <w:szCs w:val="20"/>
                <w:lang w:val="en-US" w:eastAsia="zh-CN"/>
              </w:rPr>
            </w:pPr>
            <w:r>
              <w:rPr>
                <w:rFonts w:hint="eastAsia" w:asciiTheme="minorEastAsia" w:hAnsiTheme="minorEastAsia"/>
                <w:sz w:val="20"/>
                <w:szCs w:val="20"/>
                <w:lang w:val="en-US" w:eastAsia="zh-CN"/>
              </w:rPr>
              <w:t>10</w:t>
            </w:r>
          </w:p>
        </w:tc>
        <w:tc>
          <w:tcPr>
            <w:tcW w:w="561" w:type="dxa"/>
            <w:vAlign w:val="center"/>
          </w:tcPr>
          <w:p w14:paraId="3D746504">
            <w:pPr>
              <w:jc w:val="center"/>
              <w:rPr>
                <w:rFonts w:asciiTheme="minorEastAsia" w:hAnsiTheme="minorEastAsia"/>
                <w:sz w:val="20"/>
                <w:szCs w:val="20"/>
              </w:rPr>
            </w:pPr>
          </w:p>
        </w:tc>
      </w:tr>
      <w:tr w14:paraId="63F9C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8" w:hRule="atLeast"/>
        </w:trPr>
        <w:tc>
          <w:tcPr>
            <w:tcW w:w="1058" w:type="dxa"/>
            <w:vMerge w:val="restart"/>
            <w:vAlign w:val="center"/>
          </w:tcPr>
          <w:p w14:paraId="096F4A60">
            <w:pPr>
              <w:jc w:val="center"/>
              <w:rPr>
                <w:rFonts w:hint="eastAsia" w:asciiTheme="minorEastAsia" w:hAnsiTheme="minorEastAsia"/>
                <w:color w:val="000000" w:themeColor="text1"/>
                <w:kern w:val="0"/>
                <w:sz w:val="20"/>
                <w:szCs w:val="20"/>
                <w:lang w:val="en-US" w:eastAsia="zh-CN"/>
                <w14:textFill>
                  <w14:solidFill>
                    <w14:schemeClr w14:val="tx1"/>
                  </w14:solidFill>
                </w14:textFill>
              </w:rPr>
            </w:pPr>
            <w:r>
              <w:rPr>
                <w:rFonts w:hint="eastAsia" w:asciiTheme="minorEastAsia" w:hAnsiTheme="minorEastAsia"/>
                <w:color w:val="000000" w:themeColor="text1"/>
                <w:kern w:val="0"/>
                <w:sz w:val="20"/>
                <w:szCs w:val="20"/>
                <w:lang w:val="en-US" w:eastAsia="zh-CN"/>
                <w14:textFill>
                  <w14:solidFill>
                    <w14:schemeClr w14:val="tx1"/>
                  </w14:solidFill>
                </w14:textFill>
              </w:rPr>
              <w:t>费用报价评估</w:t>
            </w:r>
          </w:p>
          <w:p w14:paraId="729A3955">
            <w:pPr>
              <w:jc w:val="center"/>
              <w:rPr>
                <w:rFonts w:hint="default" w:asciiTheme="minorEastAsia" w:hAnsiTheme="minorEastAsia"/>
                <w:color w:val="000000" w:themeColor="text1"/>
                <w:kern w:val="0"/>
                <w:sz w:val="20"/>
                <w:szCs w:val="20"/>
                <w:lang w:val="en-US" w:eastAsia="zh-CN"/>
                <w14:textFill>
                  <w14:solidFill>
                    <w14:schemeClr w14:val="tx1"/>
                  </w14:solidFill>
                </w14:textFill>
              </w:rPr>
            </w:pPr>
            <w:r>
              <w:rPr>
                <w:rFonts w:hint="eastAsia" w:asciiTheme="minorEastAsia" w:hAnsiTheme="minorEastAsia"/>
                <w:color w:val="000000" w:themeColor="text1"/>
                <w:kern w:val="0"/>
                <w:sz w:val="20"/>
                <w:szCs w:val="20"/>
                <w:lang w:val="en-US" w:eastAsia="zh-CN"/>
                <w14:textFill>
                  <w14:solidFill>
                    <w14:schemeClr w14:val="tx1"/>
                  </w14:solidFill>
                </w14:textFill>
              </w:rPr>
              <w:t>（40分）</w:t>
            </w:r>
            <w:r>
              <w:rPr>
                <w:rFonts w:hint="eastAsia" w:asciiTheme="minorEastAsia" w:hAnsiTheme="minorEastAsia"/>
                <w:color w:val="000000" w:themeColor="text1"/>
                <w:kern w:val="0"/>
                <w:sz w:val="20"/>
                <w:szCs w:val="20"/>
                <w:highlight w:val="yellow"/>
                <w14:textFill>
                  <w14:solidFill>
                    <w14:schemeClr w14:val="tx1"/>
                  </w14:solidFill>
                </w14:textFill>
              </w:rPr>
              <w:t>（若出现专票增值税率不同情况，则按不含税价格计取后再进行评审。若同时出现专票和普票，则按专票的不含税价与普票的含税价进行比较评审。）</w:t>
            </w:r>
          </w:p>
        </w:tc>
        <w:tc>
          <w:tcPr>
            <w:tcW w:w="8140" w:type="dxa"/>
            <w:vAlign w:val="center"/>
          </w:tcPr>
          <w:p w14:paraId="1B2B06FC">
            <w:pPr>
              <w:jc w:val="left"/>
              <w:rPr>
                <w:rFonts w:hint="eastAsia" w:asciiTheme="minorEastAsia" w:hAnsiTheme="minorEastAsia"/>
                <w:color w:val="000000" w:themeColor="text1"/>
                <w:kern w:val="0"/>
                <w:sz w:val="20"/>
                <w:szCs w:val="20"/>
                <w:highlight w:val="none"/>
                <w14:textFill>
                  <w14:solidFill>
                    <w14:schemeClr w14:val="tx1"/>
                  </w14:solidFill>
                </w14:textFill>
              </w:rPr>
            </w:pPr>
            <w:r>
              <w:rPr>
                <w:rFonts w:hint="eastAsia" w:asciiTheme="minorEastAsia" w:hAnsiTheme="minorEastAsia"/>
                <w:b/>
                <w:bCs/>
                <w:color w:val="000000" w:themeColor="text1"/>
                <w:kern w:val="0"/>
                <w:sz w:val="20"/>
                <w:szCs w:val="20"/>
                <w:highlight w:val="none"/>
                <w:lang w:val="en-US" w:eastAsia="zh-CN"/>
                <w14:textFill>
                  <w14:solidFill>
                    <w14:schemeClr w14:val="tx1"/>
                  </w14:solidFill>
                </w14:textFill>
              </w:rPr>
              <w:t>1、A板块费用报价评分：</w:t>
            </w:r>
          </w:p>
          <w:p w14:paraId="0215BA1E">
            <w:pPr>
              <w:jc w:val="left"/>
              <w:rPr>
                <w:rFonts w:hint="eastAsia" w:asciiTheme="minorEastAsia" w:hAnsiTheme="minorEastAsia"/>
                <w:color w:val="000000" w:themeColor="text1"/>
                <w:kern w:val="0"/>
                <w:sz w:val="20"/>
                <w:szCs w:val="20"/>
                <w:highlight w:val="none"/>
                <w14:textFill>
                  <w14:solidFill>
                    <w14:schemeClr w14:val="tx1"/>
                  </w14:solidFill>
                </w14:textFill>
              </w:rPr>
            </w:pPr>
            <w:r>
              <w:rPr>
                <w:rFonts w:hint="eastAsia" w:asciiTheme="minorEastAsia" w:hAnsiTheme="minorEastAsia"/>
                <w:color w:val="000000" w:themeColor="text1"/>
                <w:kern w:val="0"/>
                <w:sz w:val="20"/>
                <w:szCs w:val="20"/>
                <w:highlight w:val="none"/>
                <w14:textFill>
                  <w14:solidFill>
                    <w14:schemeClr w14:val="tx1"/>
                  </w14:solidFill>
                </w14:textFill>
              </w:rPr>
              <w:t>以我司预估</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推广</w:t>
            </w:r>
            <w:r>
              <w:rPr>
                <w:rFonts w:hint="eastAsia" w:asciiTheme="minorEastAsia" w:hAnsiTheme="minorEastAsia"/>
                <w:color w:val="000000" w:themeColor="text1"/>
                <w:kern w:val="0"/>
                <w:sz w:val="20"/>
                <w:szCs w:val="20"/>
                <w:highlight w:val="none"/>
                <w14:textFill>
                  <w14:solidFill>
                    <w14:schemeClr w14:val="tx1"/>
                  </w14:solidFill>
                </w14:textFill>
              </w:rPr>
              <w:t>数量x参选方所报的单价计算</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A板块</w:t>
            </w:r>
            <w:r>
              <w:rPr>
                <w:rFonts w:hint="eastAsia" w:asciiTheme="minorEastAsia" w:hAnsiTheme="minorEastAsia"/>
                <w:color w:val="000000" w:themeColor="text1"/>
                <w:kern w:val="0"/>
                <w:sz w:val="20"/>
                <w:szCs w:val="20"/>
                <w:highlight w:val="none"/>
                <w14:textFill>
                  <w14:solidFill>
                    <w14:schemeClr w14:val="tx1"/>
                  </w14:solidFill>
                </w14:textFill>
              </w:rPr>
              <w:t>总价，并以计算后的各参选公司</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A板块</w:t>
            </w:r>
            <w:r>
              <w:rPr>
                <w:rFonts w:hint="eastAsia" w:asciiTheme="minorEastAsia" w:hAnsiTheme="minorEastAsia"/>
                <w:color w:val="000000" w:themeColor="text1"/>
                <w:kern w:val="0"/>
                <w:sz w:val="20"/>
                <w:szCs w:val="20"/>
                <w:highlight w:val="none"/>
                <w14:textFill>
                  <w14:solidFill>
                    <w14:schemeClr w14:val="tx1"/>
                  </w14:solidFill>
                </w14:textFill>
              </w:rPr>
              <w:t>平均价为基准价，按照每高于平均价3%扣3分，每低于平均价3%扣1.5分，计算参选公司的</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A板块</w:t>
            </w:r>
            <w:r>
              <w:rPr>
                <w:rFonts w:hint="eastAsia" w:asciiTheme="minorEastAsia" w:hAnsiTheme="minorEastAsia"/>
                <w:color w:val="000000" w:themeColor="text1"/>
                <w:kern w:val="0"/>
                <w:sz w:val="20"/>
                <w:szCs w:val="20"/>
                <w:highlight w:val="none"/>
                <w14:textFill>
                  <w14:solidFill>
                    <w14:schemeClr w14:val="tx1"/>
                  </w14:solidFill>
                </w14:textFill>
              </w:rPr>
              <w:t>费用得分（四舍五入保留两位小数点）。</w:t>
            </w:r>
          </w:p>
          <w:p w14:paraId="7417E2D2">
            <w:pPr>
              <w:jc w:val="left"/>
              <w:rPr>
                <w:rFonts w:hint="default" w:asciiTheme="minorEastAsia" w:hAnsiTheme="minorEastAsia" w:eastAsiaTheme="minorEastAsia"/>
                <w:color w:val="000000" w:themeColor="text1"/>
                <w:kern w:val="0"/>
                <w:sz w:val="20"/>
                <w:szCs w:val="20"/>
                <w:highlight w:val="none"/>
                <w:lang w:val="en-US" w:eastAsia="zh-CN"/>
                <w14:textFill>
                  <w14:solidFill>
                    <w14:schemeClr w14:val="tx1"/>
                  </w14:solidFill>
                </w14:textFill>
              </w:rPr>
            </w:pPr>
            <w:r>
              <w:rPr>
                <w:rFonts w:hint="eastAsia" w:asciiTheme="minorEastAsia" w:hAnsiTheme="minorEastAsia"/>
                <w:color w:val="000000" w:themeColor="text1"/>
                <w:kern w:val="0"/>
                <w:sz w:val="20"/>
                <w:szCs w:val="20"/>
                <w:highlight w:val="none"/>
                <w14:textFill>
                  <w14:solidFill>
                    <w14:schemeClr w14:val="tx1"/>
                  </w14:solidFill>
                </w14:textFill>
              </w:rPr>
              <w:t>例：A公司</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A板块报价150</w:t>
            </w:r>
            <w:r>
              <w:rPr>
                <w:rFonts w:hint="eastAsia" w:asciiTheme="minorEastAsia" w:hAnsiTheme="minorEastAsia"/>
                <w:color w:val="000000" w:themeColor="text1"/>
                <w:kern w:val="0"/>
                <w:sz w:val="20"/>
                <w:szCs w:val="20"/>
                <w:highlight w:val="none"/>
                <w14:textFill>
                  <w14:solidFill>
                    <w14:schemeClr w14:val="tx1"/>
                  </w14:solidFill>
                </w14:textFill>
              </w:rPr>
              <w:t>万，</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A板块</w:t>
            </w:r>
            <w:r>
              <w:rPr>
                <w:rFonts w:hint="eastAsia" w:asciiTheme="minorEastAsia" w:hAnsiTheme="minorEastAsia"/>
                <w:color w:val="000000" w:themeColor="text1"/>
                <w:kern w:val="0"/>
                <w:sz w:val="20"/>
                <w:szCs w:val="20"/>
                <w:highlight w:val="none"/>
                <w14:textFill>
                  <w14:solidFill>
                    <w14:schemeClr w14:val="tx1"/>
                  </w14:solidFill>
                </w14:textFill>
              </w:rPr>
              <w:t>平均价为</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145</w:t>
            </w:r>
            <w:r>
              <w:rPr>
                <w:rFonts w:hint="eastAsia" w:asciiTheme="minorEastAsia" w:hAnsiTheme="minorEastAsia"/>
                <w:color w:val="000000" w:themeColor="text1"/>
                <w:kern w:val="0"/>
                <w:sz w:val="20"/>
                <w:szCs w:val="20"/>
                <w:highlight w:val="none"/>
                <w14:textFill>
                  <w14:solidFill>
                    <w14:schemeClr w14:val="tx1"/>
                  </w14:solidFill>
                </w14:textFill>
              </w:rPr>
              <w:t>万，A公司</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A板块</w:t>
            </w:r>
            <w:r>
              <w:rPr>
                <w:rFonts w:hint="eastAsia" w:asciiTheme="minorEastAsia" w:hAnsiTheme="minorEastAsia"/>
                <w:color w:val="000000" w:themeColor="text1"/>
                <w:kern w:val="0"/>
                <w:sz w:val="20"/>
                <w:szCs w:val="20"/>
                <w:highlight w:val="none"/>
                <w14:textFill>
                  <w14:solidFill>
                    <w14:schemeClr w14:val="tx1"/>
                  </w14:solidFill>
                </w14:textFill>
              </w:rPr>
              <w:t>费用得分为：板块分值</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20</w:t>
            </w:r>
            <w:r>
              <w:rPr>
                <w:rFonts w:hint="eastAsia" w:asciiTheme="minorEastAsia" w:hAnsiTheme="minorEastAsia"/>
                <w:color w:val="000000" w:themeColor="text1"/>
                <w:kern w:val="0"/>
                <w:sz w:val="20"/>
                <w:szCs w:val="20"/>
                <w:highlight w:val="none"/>
                <w14:textFill>
                  <w14:solidFill>
                    <w14:schemeClr w14:val="tx1"/>
                  </w14:solidFill>
                </w14:textFill>
              </w:rPr>
              <w:t>-（</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150</w:t>
            </w:r>
            <w:r>
              <w:rPr>
                <w:rFonts w:hint="eastAsia" w:asciiTheme="minorEastAsia" w:hAnsiTheme="minorEastAsia"/>
                <w:color w:val="000000" w:themeColor="text1"/>
                <w:kern w:val="0"/>
                <w:sz w:val="20"/>
                <w:szCs w:val="20"/>
                <w:highlight w:val="none"/>
                <w14:textFill>
                  <w14:solidFill>
                    <w14:schemeClr w14:val="tx1"/>
                  </w14:solidFill>
                </w14:textFill>
              </w:rPr>
              <w:t>-</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145</w:t>
            </w:r>
            <w:r>
              <w:rPr>
                <w:rFonts w:hint="eastAsia" w:asciiTheme="minorEastAsia" w:hAnsiTheme="minorEastAsia"/>
                <w:color w:val="000000" w:themeColor="text1"/>
                <w:kern w:val="0"/>
                <w:sz w:val="20"/>
                <w:szCs w:val="20"/>
                <w:highlight w:val="none"/>
                <w14:textFill>
                  <w14:solidFill>
                    <w14:schemeClr w14:val="tx1"/>
                  </w14:solidFill>
                </w14:textFill>
              </w:rPr>
              <w:t>）/</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145</w:t>
            </w:r>
            <w:r>
              <w:rPr>
                <w:rFonts w:hint="eastAsia" w:asciiTheme="minorEastAsia" w:hAnsiTheme="minorEastAsia"/>
                <w:color w:val="000000" w:themeColor="text1"/>
                <w:kern w:val="0"/>
                <w:sz w:val="20"/>
                <w:szCs w:val="20"/>
                <w:highlight w:val="none"/>
                <w14:textFill>
                  <w14:solidFill>
                    <w14:schemeClr w14:val="tx1"/>
                  </w14:solidFill>
                </w14:textFill>
              </w:rPr>
              <w:t>/0.03×3=</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16.55</w:t>
            </w:r>
          </w:p>
          <w:p w14:paraId="2DE83B73">
            <w:pPr>
              <w:jc w:val="left"/>
              <w:rPr>
                <w:rFonts w:hint="default" w:asciiTheme="minorEastAsia" w:hAnsiTheme="minorEastAsia"/>
                <w:color w:val="000000" w:themeColor="text1"/>
                <w:kern w:val="0"/>
                <w:sz w:val="20"/>
                <w:szCs w:val="20"/>
                <w:highlight w:val="none"/>
                <w:lang w:val="en-US" w:eastAsia="zh-CN"/>
                <w14:textFill>
                  <w14:solidFill>
                    <w14:schemeClr w14:val="tx1"/>
                  </w14:solidFill>
                </w14:textFill>
              </w:rPr>
            </w:pPr>
            <w:r>
              <w:rPr>
                <w:rFonts w:hint="eastAsia" w:asciiTheme="minorEastAsia" w:hAnsiTheme="minorEastAsia"/>
                <w:color w:val="000000" w:themeColor="text1"/>
                <w:kern w:val="0"/>
                <w:sz w:val="20"/>
                <w:szCs w:val="20"/>
                <w:highlight w:val="none"/>
                <w14:textFill>
                  <w14:solidFill>
                    <w14:schemeClr w14:val="tx1"/>
                  </w14:solidFill>
                </w14:textFill>
              </w:rPr>
              <w:t>B公司</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A板块</w:t>
            </w:r>
            <w:r>
              <w:rPr>
                <w:rFonts w:hint="eastAsia" w:asciiTheme="minorEastAsia" w:hAnsiTheme="minorEastAsia"/>
                <w:color w:val="000000" w:themeColor="text1"/>
                <w:kern w:val="0"/>
                <w:sz w:val="20"/>
                <w:szCs w:val="20"/>
                <w:highlight w:val="none"/>
                <w14:textFill>
                  <w14:solidFill>
                    <w14:schemeClr w14:val="tx1"/>
                  </w14:solidFill>
                </w14:textFill>
              </w:rPr>
              <w:t>报价</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140</w:t>
            </w:r>
            <w:r>
              <w:rPr>
                <w:rFonts w:hint="eastAsia" w:asciiTheme="minorEastAsia" w:hAnsiTheme="minorEastAsia"/>
                <w:color w:val="000000" w:themeColor="text1"/>
                <w:kern w:val="0"/>
                <w:sz w:val="20"/>
                <w:szCs w:val="20"/>
                <w:highlight w:val="none"/>
                <w14:textFill>
                  <w14:solidFill>
                    <w14:schemeClr w14:val="tx1"/>
                  </w14:solidFill>
                </w14:textFill>
              </w:rPr>
              <w:t>万，</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A板块</w:t>
            </w:r>
            <w:r>
              <w:rPr>
                <w:rFonts w:hint="eastAsia" w:asciiTheme="minorEastAsia" w:hAnsiTheme="minorEastAsia"/>
                <w:color w:val="000000" w:themeColor="text1"/>
                <w:kern w:val="0"/>
                <w:sz w:val="20"/>
                <w:szCs w:val="20"/>
                <w:highlight w:val="none"/>
                <w14:textFill>
                  <w14:solidFill>
                    <w14:schemeClr w14:val="tx1"/>
                  </w14:solidFill>
                </w14:textFill>
              </w:rPr>
              <w:t>平均价为</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145</w:t>
            </w:r>
            <w:r>
              <w:rPr>
                <w:rFonts w:hint="eastAsia" w:asciiTheme="minorEastAsia" w:hAnsiTheme="minorEastAsia"/>
                <w:color w:val="000000" w:themeColor="text1"/>
                <w:kern w:val="0"/>
                <w:sz w:val="20"/>
                <w:szCs w:val="20"/>
                <w:highlight w:val="none"/>
                <w14:textFill>
                  <w14:solidFill>
                    <w14:schemeClr w14:val="tx1"/>
                  </w14:solidFill>
                </w14:textFill>
              </w:rPr>
              <w:t>万，B公司</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A板块</w:t>
            </w:r>
            <w:r>
              <w:rPr>
                <w:rFonts w:hint="eastAsia" w:asciiTheme="minorEastAsia" w:hAnsiTheme="minorEastAsia"/>
                <w:color w:val="000000" w:themeColor="text1"/>
                <w:kern w:val="0"/>
                <w:sz w:val="20"/>
                <w:szCs w:val="20"/>
                <w:highlight w:val="none"/>
                <w14:textFill>
                  <w14:solidFill>
                    <w14:schemeClr w14:val="tx1"/>
                  </w14:solidFill>
                </w14:textFill>
              </w:rPr>
              <w:t>费用得分为：板块分值</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20</w:t>
            </w:r>
            <w:r>
              <w:rPr>
                <w:rFonts w:hint="eastAsia" w:asciiTheme="minorEastAsia" w:hAnsiTheme="minorEastAsia"/>
                <w:color w:val="000000" w:themeColor="text1"/>
                <w:kern w:val="0"/>
                <w:sz w:val="20"/>
                <w:szCs w:val="20"/>
                <w:highlight w:val="none"/>
                <w14:textFill>
                  <w14:solidFill>
                    <w14:schemeClr w14:val="tx1"/>
                  </w14:solidFill>
                </w14:textFill>
              </w:rPr>
              <w:t>-（</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140</w:t>
            </w:r>
            <w:r>
              <w:rPr>
                <w:rFonts w:hint="eastAsia" w:asciiTheme="minorEastAsia" w:hAnsiTheme="minorEastAsia"/>
                <w:color w:val="000000" w:themeColor="text1"/>
                <w:kern w:val="0"/>
                <w:sz w:val="20"/>
                <w:szCs w:val="20"/>
                <w:highlight w:val="none"/>
                <w14:textFill>
                  <w14:solidFill>
                    <w14:schemeClr w14:val="tx1"/>
                  </w14:solidFill>
                </w14:textFill>
              </w:rPr>
              <w:t>-</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145</w:t>
            </w:r>
            <w:r>
              <w:rPr>
                <w:rFonts w:hint="eastAsia" w:asciiTheme="minorEastAsia" w:hAnsiTheme="minorEastAsia"/>
                <w:color w:val="000000" w:themeColor="text1"/>
                <w:kern w:val="0"/>
                <w:sz w:val="20"/>
                <w:szCs w:val="20"/>
                <w:highlight w:val="none"/>
                <w14:textFill>
                  <w14:solidFill>
                    <w14:schemeClr w14:val="tx1"/>
                  </w14:solidFill>
                </w14:textFill>
              </w:rPr>
              <w:t>）/</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140</w:t>
            </w:r>
            <w:r>
              <w:rPr>
                <w:rFonts w:hint="eastAsia" w:asciiTheme="minorEastAsia" w:hAnsiTheme="minorEastAsia"/>
                <w:color w:val="000000" w:themeColor="text1"/>
                <w:kern w:val="0"/>
                <w:sz w:val="20"/>
                <w:szCs w:val="20"/>
                <w:highlight w:val="none"/>
                <w14:textFill>
                  <w14:solidFill>
                    <w14:schemeClr w14:val="tx1"/>
                  </w14:solidFill>
                </w14:textFill>
              </w:rPr>
              <w:t>/0.03×</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1.5</w:t>
            </w:r>
            <w:r>
              <w:rPr>
                <w:rFonts w:hint="eastAsia" w:asciiTheme="minorEastAsia" w:hAnsiTheme="minorEastAsia"/>
                <w:color w:val="000000" w:themeColor="text1"/>
                <w:kern w:val="0"/>
                <w:sz w:val="20"/>
                <w:szCs w:val="20"/>
                <w:highlight w:val="none"/>
                <w14:textFill>
                  <w14:solidFill>
                    <w14:schemeClr w14:val="tx1"/>
                  </w14:solidFill>
                </w14:textFill>
              </w:rPr>
              <w:t>=</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18.21</w:t>
            </w:r>
          </w:p>
          <w:p w14:paraId="172269E3">
            <w:pPr>
              <w:jc w:val="left"/>
              <w:rPr>
                <w:rFonts w:hint="default" w:asciiTheme="minorEastAsia" w:hAnsiTheme="minorEastAsia"/>
                <w:color w:val="000000" w:themeColor="text1"/>
                <w:kern w:val="0"/>
                <w:sz w:val="20"/>
                <w:szCs w:val="20"/>
                <w:lang w:val="en-US" w:eastAsia="zh-CN"/>
                <w14:textFill>
                  <w14:solidFill>
                    <w14:schemeClr w14:val="tx1"/>
                  </w14:solidFill>
                </w14:textFill>
              </w:rPr>
            </w:pPr>
            <w:r>
              <w:rPr>
                <w:rFonts w:hint="eastAsia" w:asciiTheme="minorEastAsia" w:hAnsiTheme="minorEastAsia"/>
                <w:color w:val="000000" w:themeColor="text1"/>
                <w:kern w:val="0"/>
                <w:sz w:val="20"/>
                <w:szCs w:val="20"/>
                <w:highlight w:val="none"/>
                <w14:textFill>
                  <w14:solidFill>
                    <w14:schemeClr w14:val="tx1"/>
                  </w14:solidFill>
                </w14:textFill>
              </w:rPr>
              <w:t>注：如遇最终分数为负数，则该项分数按0分计算。</w:t>
            </w:r>
          </w:p>
        </w:tc>
        <w:tc>
          <w:tcPr>
            <w:tcW w:w="658" w:type="dxa"/>
            <w:vAlign w:val="center"/>
          </w:tcPr>
          <w:p w14:paraId="46754C40">
            <w:pPr>
              <w:jc w:val="center"/>
              <w:rPr>
                <w:rFonts w:hint="default" w:asciiTheme="minorEastAsia" w:hAnsiTheme="minorEastAsia"/>
                <w:sz w:val="20"/>
                <w:szCs w:val="20"/>
                <w:lang w:val="en-US" w:eastAsia="zh-CN"/>
              </w:rPr>
            </w:pPr>
            <w:r>
              <w:rPr>
                <w:rFonts w:hint="eastAsia" w:asciiTheme="minorEastAsia" w:hAnsiTheme="minorEastAsia"/>
                <w:sz w:val="20"/>
                <w:szCs w:val="20"/>
                <w:lang w:val="en-US" w:eastAsia="zh-CN"/>
              </w:rPr>
              <w:t>20</w:t>
            </w:r>
          </w:p>
        </w:tc>
        <w:tc>
          <w:tcPr>
            <w:tcW w:w="561" w:type="dxa"/>
            <w:vAlign w:val="center"/>
          </w:tcPr>
          <w:p w14:paraId="6F09DA77">
            <w:pPr>
              <w:jc w:val="center"/>
              <w:rPr>
                <w:rFonts w:asciiTheme="minorEastAsia" w:hAnsiTheme="minorEastAsia"/>
                <w:sz w:val="20"/>
                <w:szCs w:val="20"/>
              </w:rPr>
            </w:pPr>
          </w:p>
        </w:tc>
      </w:tr>
      <w:tr w14:paraId="65597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058" w:type="dxa"/>
            <w:vMerge w:val="continue"/>
            <w:vAlign w:val="center"/>
          </w:tcPr>
          <w:p w14:paraId="63D506E4">
            <w:pPr>
              <w:jc w:val="center"/>
              <w:rPr>
                <w:rFonts w:hint="eastAsia" w:asciiTheme="minorEastAsia" w:hAnsiTheme="minorEastAsia"/>
                <w:color w:val="000000" w:themeColor="text1"/>
                <w:kern w:val="0"/>
                <w:sz w:val="20"/>
                <w:szCs w:val="20"/>
                <w:lang w:val="en-US" w:eastAsia="zh-CN"/>
                <w14:textFill>
                  <w14:solidFill>
                    <w14:schemeClr w14:val="tx1"/>
                  </w14:solidFill>
                </w14:textFill>
              </w:rPr>
            </w:pPr>
          </w:p>
        </w:tc>
        <w:tc>
          <w:tcPr>
            <w:tcW w:w="8140" w:type="dxa"/>
            <w:vAlign w:val="center"/>
          </w:tcPr>
          <w:p w14:paraId="52E9E073">
            <w:pPr>
              <w:numPr>
                <w:ilvl w:val="0"/>
                <w:numId w:val="0"/>
              </w:numPr>
              <w:jc w:val="left"/>
              <w:rPr>
                <w:rFonts w:hint="eastAsia" w:asciiTheme="minorEastAsia" w:hAnsiTheme="minorEastAsia"/>
                <w:b/>
                <w:bCs/>
                <w:color w:val="000000" w:themeColor="text1"/>
                <w:kern w:val="0"/>
                <w:sz w:val="20"/>
                <w:szCs w:val="20"/>
                <w:lang w:val="en-US" w:eastAsia="zh-CN"/>
                <w14:textFill>
                  <w14:solidFill>
                    <w14:schemeClr w14:val="tx1"/>
                  </w14:solidFill>
                </w14:textFill>
              </w:rPr>
            </w:pPr>
            <w:r>
              <w:rPr>
                <w:rFonts w:hint="eastAsia" w:asciiTheme="minorEastAsia" w:hAnsiTheme="minorEastAsia"/>
                <w:b/>
                <w:bCs/>
                <w:color w:val="000000" w:themeColor="text1"/>
                <w:kern w:val="0"/>
                <w:sz w:val="20"/>
                <w:szCs w:val="20"/>
                <w:lang w:val="en-US" w:eastAsia="zh-CN"/>
                <w14:textFill>
                  <w14:solidFill>
                    <w14:schemeClr w14:val="tx1"/>
                  </w14:solidFill>
                </w14:textFill>
              </w:rPr>
              <w:t>2、C板块费用报价评估分：</w:t>
            </w:r>
          </w:p>
          <w:p w14:paraId="5C723C67">
            <w:pPr>
              <w:jc w:val="left"/>
              <w:rPr>
                <w:rFonts w:hint="eastAsia" w:asciiTheme="minorEastAsia" w:hAnsiTheme="minorEastAsia"/>
                <w:color w:val="000000" w:themeColor="text1"/>
                <w:kern w:val="0"/>
                <w:sz w:val="20"/>
                <w:szCs w:val="20"/>
                <w:highlight w:val="none"/>
                <w14:textFill>
                  <w14:solidFill>
                    <w14:schemeClr w14:val="tx1"/>
                  </w14:solidFill>
                </w14:textFill>
              </w:rPr>
            </w:pPr>
            <w:r>
              <w:rPr>
                <w:rFonts w:hint="eastAsia" w:asciiTheme="minorEastAsia" w:hAnsiTheme="minorEastAsia"/>
                <w:color w:val="000000" w:themeColor="text1"/>
                <w:kern w:val="0"/>
                <w:sz w:val="20"/>
                <w:szCs w:val="20"/>
                <w:highlight w:val="none"/>
                <w14:textFill>
                  <w14:solidFill>
                    <w14:schemeClr w14:val="tx1"/>
                  </w14:solidFill>
                </w14:textFill>
              </w:rPr>
              <w:t>（1）评分标准：参与比选公司需根据【附件1】表格内容进行填写，我方将根据参与比选公司</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C板块</w:t>
            </w:r>
            <w:r>
              <w:rPr>
                <w:rFonts w:hint="eastAsia" w:asciiTheme="minorEastAsia" w:hAnsiTheme="minorEastAsia"/>
                <w:color w:val="000000" w:themeColor="text1"/>
                <w:kern w:val="0"/>
                <w:sz w:val="20"/>
                <w:szCs w:val="20"/>
                <w:highlight w:val="none"/>
                <w14:textFill>
                  <w14:solidFill>
                    <w14:schemeClr w14:val="tx1"/>
                  </w14:solidFill>
                </w14:textFill>
              </w:rPr>
              <w:t>报价情况进行打分。</w:t>
            </w:r>
          </w:p>
          <w:p w14:paraId="02A0F3E7">
            <w:pPr>
              <w:jc w:val="left"/>
              <w:rPr>
                <w:rFonts w:hint="eastAsia" w:asciiTheme="minorEastAsia" w:hAnsiTheme="minorEastAsia"/>
                <w:color w:val="000000" w:themeColor="text1"/>
                <w:kern w:val="0"/>
                <w:sz w:val="20"/>
                <w:szCs w:val="20"/>
                <w:highlight w:val="none"/>
                <w14:textFill>
                  <w14:solidFill>
                    <w14:schemeClr w14:val="tx1"/>
                  </w14:solidFill>
                </w14:textFill>
              </w:rPr>
            </w:pPr>
            <w:r>
              <w:rPr>
                <w:rFonts w:hint="eastAsia" w:asciiTheme="minorEastAsia" w:hAnsiTheme="minorEastAsia"/>
                <w:color w:val="000000" w:themeColor="text1"/>
                <w:kern w:val="0"/>
                <w:sz w:val="20"/>
                <w:szCs w:val="20"/>
                <w:highlight w:val="none"/>
                <w14:textFill>
                  <w14:solidFill>
                    <w14:schemeClr w14:val="tx1"/>
                  </w14:solidFill>
                </w14:textFill>
              </w:rPr>
              <w:t>（2）测算总价最低得满分（</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20</w:t>
            </w:r>
            <w:r>
              <w:rPr>
                <w:rFonts w:hint="eastAsia" w:asciiTheme="minorEastAsia" w:hAnsiTheme="minorEastAsia"/>
                <w:color w:val="000000" w:themeColor="text1"/>
                <w:kern w:val="0"/>
                <w:sz w:val="20"/>
                <w:szCs w:val="20"/>
                <w:highlight w:val="none"/>
                <w14:textFill>
                  <w14:solidFill>
                    <w14:schemeClr w14:val="tx1"/>
                  </w14:solidFill>
                </w14:textFill>
              </w:rPr>
              <w:t>分），且该价格将作为评审基准价。其他参与比选公司的</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C板块</w:t>
            </w:r>
            <w:r>
              <w:rPr>
                <w:rFonts w:hint="eastAsia" w:asciiTheme="minorEastAsia" w:hAnsiTheme="minorEastAsia"/>
                <w:color w:val="000000" w:themeColor="text1"/>
                <w:kern w:val="0"/>
                <w:sz w:val="20"/>
                <w:szCs w:val="20"/>
                <w:highlight w:val="none"/>
                <w14:textFill>
                  <w14:solidFill>
                    <w14:schemeClr w14:val="tx1"/>
                  </w14:solidFill>
                </w14:textFill>
              </w:rPr>
              <w:t>报价得分按以下公式计算：</w:t>
            </w:r>
          </w:p>
          <w:p w14:paraId="52FBC7E8">
            <w:pPr>
              <w:jc w:val="left"/>
              <w:rPr>
                <w:rFonts w:hint="eastAsia" w:asciiTheme="minorEastAsia" w:hAnsiTheme="minorEastAsia"/>
                <w:color w:val="000000" w:themeColor="text1"/>
                <w:kern w:val="0"/>
                <w:sz w:val="20"/>
                <w:szCs w:val="20"/>
                <w:highlight w:val="none"/>
                <w14:textFill>
                  <w14:solidFill>
                    <w14:schemeClr w14:val="tx1"/>
                  </w14:solidFill>
                </w14:textFill>
              </w:rPr>
            </w:pP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C板块</w:t>
            </w:r>
            <w:r>
              <w:rPr>
                <w:rFonts w:hint="eastAsia" w:asciiTheme="minorEastAsia" w:hAnsiTheme="minorEastAsia"/>
                <w:color w:val="000000" w:themeColor="text1"/>
                <w:kern w:val="0"/>
                <w:sz w:val="20"/>
                <w:szCs w:val="20"/>
                <w:highlight w:val="none"/>
                <w14:textFill>
                  <w14:solidFill>
                    <w14:schemeClr w14:val="tx1"/>
                  </w14:solidFill>
                </w14:textFill>
              </w:rPr>
              <w:t>报价得分=（评审基准价/参与比选公司的</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C板块</w:t>
            </w:r>
            <w:r>
              <w:rPr>
                <w:rFonts w:hint="eastAsia" w:asciiTheme="minorEastAsia" w:hAnsiTheme="minorEastAsia"/>
                <w:color w:val="000000" w:themeColor="text1"/>
                <w:kern w:val="0"/>
                <w:sz w:val="20"/>
                <w:szCs w:val="20"/>
                <w:highlight w:val="none"/>
                <w14:textFill>
                  <w14:solidFill>
                    <w14:schemeClr w14:val="tx1"/>
                  </w14:solidFill>
                </w14:textFill>
              </w:rPr>
              <w:t>报价）x</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20</w:t>
            </w:r>
            <w:r>
              <w:rPr>
                <w:rFonts w:hint="eastAsia" w:asciiTheme="minorEastAsia" w:hAnsiTheme="minorEastAsia"/>
                <w:color w:val="000000" w:themeColor="text1"/>
                <w:kern w:val="0"/>
                <w:sz w:val="20"/>
                <w:szCs w:val="20"/>
                <w:highlight w:val="none"/>
                <w14:textFill>
                  <w14:solidFill>
                    <w14:schemeClr w14:val="tx1"/>
                  </w14:solidFill>
                </w14:textFill>
              </w:rPr>
              <w:t>（保留2位小数）</w:t>
            </w:r>
          </w:p>
          <w:p w14:paraId="0A203291">
            <w:pPr>
              <w:jc w:val="both"/>
              <w:rPr>
                <w:rFonts w:hint="eastAsia"/>
                <w:color w:val="000000" w:themeColor="text1"/>
                <w14:textFill>
                  <w14:solidFill>
                    <w14:schemeClr w14:val="tx1"/>
                  </w14:solidFill>
                </w14:textFill>
              </w:rPr>
            </w:pP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例：A公司C板块报价148万，评审基准价为140万，A公司C板块费用报价评估得分为：（140/148）</w:t>
            </w:r>
            <w:r>
              <w:rPr>
                <w:rFonts w:hint="eastAsia" w:asciiTheme="minorEastAsia" w:hAnsiTheme="minorEastAsia"/>
                <w:color w:val="000000" w:themeColor="text1"/>
                <w:kern w:val="0"/>
                <w:sz w:val="20"/>
                <w:szCs w:val="20"/>
                <w:highlight w:val="none"/>
                <w14:textFill>
                  <w14:solidFill>
                    <w14:schemeClr w14:val="tx1"/>
                  </w14:solidFill>
                </w14:textFill>
              </w:rPr>
              <w:t>x</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20=18.92。</w:t>
            </w:r>
          </w:p>
        </w:tc>
        <w:tc>
          <w:tcPr>
            <w:tcW w:w="658" w:type="dxa"/>
            <w:vAlign w:val="center"/>
          </w:tcPr>
          <w:p w14:paraId="7EC684E1">
            <w:pPr>
              <w:jc w:val="center"/>
              <w:rPr>
                <w:rFonts w:hint="default" w:asciiTheme="minorEastAsia" w:hAnsiTheme="minorEastAsia"/>
                <w:sz w:val="20"/>
                <w:szCs w:val="20"/>
                <w:lang w:val="en-US" w:eastAsia="zh-CN"/>
              </w:rPr>
            </w:pPr>
            <w:r>
              <w:rPr>
                <w:rFonts w:hint="eastAsia" w:asciiTheme="minorEastAsia" w:hAnsiTheme="minorEastAsia"/>
                <w:color w:val="FF0000"/>
                <w:sz w:val="20"/>
                <w:szCs w:val="20"/>
                <w:lang w:val="en-US" w:eastAsia="zh-CN"/>
              </w:rPr>
              <w:t>20</w:t>
            </w:r>
          </w:p>
        </w:tc>
        <w:tc>
          <w:tcPr>
            <w:tcW w:w="561" w:type="dxa"/>
            <w:vAlign w:val="center"/>
          </w:tcPr>
          <w:p w14:paraId="4AF26950">
            <w:pPr>
              <w:jc w:val="center"/>
              <w:rPr>
                <w:rFonts w:asciiTheme="minorEastAsia" w:hAnsiTheme="minorEastAsia"/>
                <w:sz w:val="20"/>
                <w:szCs w:val="20"/>
              </w:rPr>
            </w:pPr>
          </w:p>
        </w:tc>
      </w:tr>
      <w:tr w14:paraId="5928B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2" w:hRule="atLeast"/>
        </w:trPr>
        <w:tc>
          <w:tcPr>
            <w:tcW w:w="1058" w:type="dxa"/>
            <w:vMerge w:val="restart"/>
            <w:vAlign w:val="center"/>
          </w:tcPr>
          <w:p w14:paraId="4553C08D">
            <w:pPr>
              <w:jc w:val="center"/>
              <w:rPr>
                <w:rFonts w:hint="eastAsia" w:eastAsia="宋体" w:cs="Times New Roman" w:asciiTheme="minorEastAsia" w:hAnsiTheme="minorEastAsia"/>
                <w:color w:val="FF0000"/>
                <w:kern w:val="0"/>
                <w:sz w:val="20"/>
                <w:szCs w:val="20"/>
                <w:highlight w:val="none"/>
                <w:lang w:val="en-US" w:eastAsia="zh-CN" w:bidi="ar-SA"/>
              </w:rPr>
            </w:pPr>
            <w:r>
              <w:rPr>
                <w:rFonts w:hint="eastAsia" w:eastAsia="宋体" w:cs="Times New Roman" w:asciiTheme="minorEastAsia" w:hAnsiTheme="minorEastAsia"/>
                <w:color w:val="FF0000"/>
                <w:kern w:val="0"/>
                <w:sz w:val="20"/>
                <w:szCs w:val="20"/>
                <w:highlight w:val="none"/>
                <w:lang w:val="en-US" w:eastAsia="zh-CN" w:bidi="ar-SA"/>
              </w:rPr>
              <w:t>执行能力评估</w:t>
            </w:r>
          </w:p>
          <w:p w14:paraId="23B1F209">
            <w:pPr>
              <w:jc w:val="center"/>
              <w:rPr>
                <w:rFonts w:hint="eastAsia" w:eastAsia="宋体" w:cs="Times New Roman" w:asciiTheme="minorEastAsia" w:hAnsiTheme="minorEastAsia"/>
                <w:color w:val="FF0000"/>
                <w:kern w:val="0"/>
                <w:sz w:val="20"/>
                <w:szCs w:val="20"/>
                <w:lang w:val="en-US" w:eastAsia="zh-CN" w:bidi="ar-SA"/>
              </w:rPr>
            </w:pPr>
            <w:r>
              <w:rPr>
                <w:rFonts w:hint="eastAsia" w:eastAsia="宋体" w:cs="Times New Roman" w:asciiTheme="minorEastAsia" w:hAnsiTheme="minorEastAsia"/>
                <w:color w:val="FF0000"/>
                <w:kern w:val="0"/>
                <w:sz w:val="20"/>
                <w:szCs w:val="20"/>
                <w:highlight w:val="none"/>
                <w:lang w:val="en-US" w:eastAsia="zh-CN" w:bidi="ar-SA"/>
              </w:rPr>
              <w:t>（30分）</w:t>
            </w:r>
          </w:p>
        </w:tc>
        <w:tc>
          <w:tcPr>
            <w:tcW w:w="8140" w:type="dxa"/>
            <w:vAlign w:val="center"/>
          </w:tcPr>
          <w:p w14:paraId="0AE6A6B0">
            <w:pPr>
              <w:jc w:val="left"/>
              <w:rPr>
                <w:rFonts w:hint="eastAsia" w:asciiTheme="minorEastAsia" w:hAnsiTheme="minorEastAsia"/>
                <w:color w:val="000000" w:themeColor="text1"/>
                <w:kern w:val="0"/>
                <w:sz w:val="20"/>
                <w:szCs w:val="20"/>
                <w:highlight w:val="none"/>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、如何提高项目执行效果</w:t>
            </w:r>
            <w:r>
              <w:rPr>
                <w:rFonts w:hint="eastAsia" w:asciiTheme="minorEastAsia" w:hAnsiTheme="minorEastAsia"/>
                <w:color w:val="000000" w:themeColor="text1"/>
                <w:kern w:val="0"/>
                <w:sz w:val="20"/>
                <w:szCs w:val="20"/>
                <w:highlight w:val="yellow"/>
                <w:lang w:val="en-US" w:eastAsia="zh-CN"/>
                <w14:textFill>
                  <w14:solidFill>
                    <w14:schemeClr w14:val="tx1"/>
                  </w14:solidFill>
                </w14:textFill>
              </w:rPr>
              <w:t>【根据参选公司提供的</w:t>
            </w:r>
            <w:r>
              <w:rPr>
                <w:rFonts w:hint="eastAsia" w:asciiTheme="minorEastAsia" w:hAnsiTheme="minorEastAsia"/>
                <w:b/>
                <w:bCs/>
                <w:color w:val="000000" w:themeColor="text1"/>
                <w:kern w:val="0"/>
                <w:sz w:val="20"/>
                <w:szCs w:val="20"/>
                <w:highlight w:val="yellow"/>
                <w:lang w:val="en-US" w:eastAsia="zh-CN"/>
                <w14:textFill>
                  <w14:solidFill>
                    <w14:schemeClr w14:val="tx1"/>
                  </w14:solidFill>
                </w14:textFill>
              </w:rPr>
              <w:t>达人种草</w:t>
            </w:r>
            <w:r>
              <w:rPr>
                <w:rFonts w:hint="eastAsia" w:asciiTheme="minorEastAsia" w:hAnsiTheme="minorEastAsia"/>
                <w:color w:val="000000" w:themeColor="text1"/>
                <w:kern w:val="0"/>
                <w:sz w:val="20"/>
                <w:szCs w:val="20"/>
                <w:highlight w:val="yellow"/>
                <w:lang w:val="en-US" w:eastAsia="zh-CN"/>
                <w14:textFill>
                  <w14:solidFill>
                    <w14:schemeClr w14:val="tx1"/>
                  </w14:solidFill>
                </w14:textFill>
              </w:rPr>
              <w:t>推广实施方案及视频解说（5分钟以内】进</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行评估评分，且需符合品牌调性、种草目标人群定位、达人方向、种草选题方向、投流策略规划及全案运营策略布局规划）：</w:t>
            </w:r>
          </w:p>
          <w:p w14:paraId="5A93BBDD">
            <w:pPr>
              <w:jc w:val="left"/>
              <w:rPr>
                <w:rFonts w:hint="eastAsia" w:asciiTheme="minorEastAsia" w:hAnsiTheme="minorEastAsia"/>
                <w:color w:val="000000" w:themeColor="text1"/>
                <w:kern w:val="0"/>
                <w:sz w:val="20"/>
                <w:szCs w:val="20"/>
                <w:highlight w:val="none"/>
                <w:lang w:val="en-US" w:eastAsia="zh-CN"/>
                <w14:textFill>
                  <w14:solidFill>
                    <w14:schemeClr w14:val="tx1"/>
                  </w14:solidFill>
                </w14:textFill>
              </w:rPr>
            </w:pP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A、方案粗略、通泛，调性不够精准，节奏不够清晰，方向不够明确，评估一般，得1~5分；</w:t>
            </w:r>
          </w:p>
          <w:p w14:paraId="1F7D1D6F">
            <w:pPr>
              <w:jc w:val="left"/>
              <w:rPr>
                <w:rFonts w:hint="eastAsia" w:asciiTheme="minorEastAsia" w:hAnsiTheme="minorEastAsia"/>
                <w:color w:val="000000" w:themeColor="text1"/>
                <w:kern w:val="0"/>
                <w:sz w:val="20"/>
                <w:szCs w:val="20"/>
                <w:highlight w:val="none"/>
                <w:lang w:val="en-US" w:eastAsia="zh-CN"/>
                <w14:textFill>
                  <w14:solidFill>
                    <w14:schemeClr w14:val="tx1"/>
                  </w14:solidFill>
                </w14:textFill>
              </w:rPr>
            </w:pP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B、方案较为详细、合理，有一定匹配品牌调性，有节奏、方向比较到位，专业性及可行性较好，评估较好，得6~9分；</w:t>
            </w:r>
          </w:p>
          <w:p w14:paraId="5DD3AA5C">
            <w:pPr>
              <w:jc w:val="left"/>
              <w:rPr>
                <w:rFonts w:hint="default"/>
                <w:color w:val="FF0000"/>
                <w:sz w:val="20"/>
                <w:szCs w:val="20"/>
                <w:lang w:val="en-US" w:eastAsia="zh-CN"/>
              </w:rPr>
            </w:pP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C、方案具体详细、科学，调性品牌度高、推广节奏、方向定位清晰明确且精准，专业性及可行性强，评估好，得10~15分；</w:t>
            </w:r>
          </w:p>
        </w:tc>
        <w:tc>
          <w:tcPr>
            <w:tcW w:w="658" w:type="dxa"/>
            <w:vAlign w:val="center"/>
          </w:tcPr>
          <w:p w14:paraId="7B41B853">
            <w:pPr>
              <w:jc w:val="center"/>
              <w:rPr>
                <w:rFonts w:hint="default" w:asciiTheme="minorEastAsia" w:hAnsiTheme="minorEastAsia"/>
                <w:color w:val="000000" w:themeColor="text1"/>
                <w:sz w:val="20"/>
                <w:szCs w:val="20"/>
                <w:lang w:val="en-US" w:eastAsia="zh-CN"/>
                <w14:textFill>
                  <w14:solidFill>
                    <w14:schemeClr w14:val="tx1"/>
                  </w14:solidFill>
                </w14:textFill>
              </w:rPr>
            </w:pPr>
            <w:r>
              <w:rPr>
                <w:rFonts w:hint="eastAsia" w:asciiTheme="minorEastAsia" w:hAnsiTheme="minorEastAsia"/>
                <w:color w:val="000000" w:themeColor="text1"/>
                <w:sz w:val="20"/>
                <w:szCs w:val="20"/>
                <w:lang w:val="en-US" w:eastAsia="zh-CN"/>
                <w14:textFill>
                  <w14:solidFill>
                    <w14:schemeClr w14:val="tx1"/>
                  </w14:solidFill>
                </w14:textFill>
              </w:rPr>
              <w:t>15</w:t>
            </w:r>
          </w:p>
        </w:tc>
        <w:tc>
          <w:tcPr>
            <w:tcW w:w="561" w:type="dxa"/>
            <w:vAlign w:val="center"/>
          </w:tcPr>
          <w:p w14:paraId="3EAB68EC">
            <w:pPr>
              <w:jc w:val="center"/>
              <w:rPr>
                <w:rFonts w:asciiTheme="minorEastAsia" w:hAnsiTheme="minorEastAsia"/>
                <w:sz w:val="20"/>
                <w:szCs w:val="20"/>
              </w:rPr>
            </w:pPr>
          </w:p>
        </w:tc>
      </w:tr>
      <w:tr w14:paraId="77377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3" w:hRule="atLeast"/>
        </w:trPr>
        <w:tc>
          <w:tcPr>
            <w:tcW w:w="1058" w:type="dxa"/>
            <w:vMerge w:val="continue"/>
            <w:vAlign w:val="center"/>
          </w:tcPr>
          <w:p w14:paraId="2768241A">
            <w:pPr>
              <w:jc w:val="center"/>
              <w:rPr>
                <w:rFonts w:hint="eastAsia" w:eastAsia="宋体" w:cs="Times New Roman" w:asciiTheme="minorEastAsia" w:hAnsiTheme="minorEastAsia"/>
                <w:color w:val="0000FF"/>
                <w:kern w:val="0"/>
                <w:sz w:val="20"/>
                <w:szCs w:val="20"/>
                <w:highlight w:val="none"/>
                <w:lang w:val="en-US" w:eastAsia="zh-CN" w:bidi="ar-SA"/>
              </w:rPr>
            </w:pPr>
          </w:p>
        </w:tc>
        <w:tc>
          <w:tcPr>
            <w:tcW w:w="8140" w:type="dxa"/>
            <w:vAlign w:val="center"/>
          </w:tcPr>
          <w:p w14:paraId="27CA6A17">
            <w:pPr>
              <w:jc w:val="left"/>
              <w:rPr>
                <w:rFonts w:hint="eastAsia" w:asciiTheme="minorEastAsia" w:hAnsiTheme="minorEastAsia"/>
                <w:color w:val="000000" w:themeColor="text1"/>
                <w:kern w:val="0"/>
                <w:sz w:val="20"/>
                <w:szCs w:val="20"/>
                <w:highlight w:val="none"/>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w:t>
            </w: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1）提供关于我司“金线莲面霜”产品的【换季舒缓】主题小红书原创海报文案+品牌小红书发布原创文稿1组；（2）小红书达人种草稿件2份（金线莲面霜种草植入2篇，需简要阐述产品人群、种草目标及思路，不含剧情、搞笑类稿件，每份字数控制在500字以内），根据参选公司提供的稿件质量进行评估评分：</w:t>
            </w:r>
          </w:p>
          <w:p w14:paraId="4E4D5938">
            <w:pPr>
              <w:jc w:val="left"/>
              <w:rPr>
                <w:rFonts w:hint="eastAsia" w:asciiTheme="minorEastAsia" w:hAnsiTheme="minorEastAsia"/>
                <w:color w:val="000000" w:themeColor="text1"/>
                <w:kern w:val="0"/>
                <w:sz w:val="20"/>
                <w:szCs w:val="20"/>
                <w:highlight w:val="none"/>
                <w:lang w:val="en-US" w:eastAsia="zh-CN"/>
                <w14:textFill>
                  <w14:solidFill>
                    <w14:schemeClr w14:val="tx1"/>
                  </w14:solidFill>
                </w14:textFill>
              </w:rPr>
            </w:pP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A、稿件主题一般，内容单薄、植入生硬，产品特点简单，稿件质量评估一般，得1~4分；</w:t>
            </w:r>
          </w:p>
          <w:p w14:paraId="3CFFD376">
            <w:pPr>
              <w:jc w:val="left"/>
              <w:rPr>
                <w:rFonts w:hint="eastAsia" w:asciiTheme="minorEastAsia" w:hAnsiTheme="minorEastAsia"/>
                <w:color w:val="000000" w:themeColor="text1"/>
                <w:kern w:val="0"/>
                <w:sz w:val="20"/>
                <w:szCs w:val="20"/>
                <w:highlight w:val="none"/>
                <w:lang w:val="en-US" w:eastAsia="zh-CN"/>
                <w14:textFill>
                  <w14:solidFill>
                    <w14:schemeClr w14:val="tx1"/>
                  </w14:solidFill>
                </w14:textFill>
              </w:rPr>
            </w:pP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B、稿件主题普通，内容有一定创意，植入角度较合理，结合产品特点有呈现，稿件质量评估较好，得5~9分；</w:t>
            </w:r>
          </w:p>
          <w:p w14:paraId="2E494AB4">
            <w:pPr>
              <w:jc w:val="left"/>
              <w:rPr>
                <w:rFonts w:hint="eastAsia" w:eastAsia="宋体" w:cs="Times New Roman" w:asciiTheme="minorEastAsia" w:hAnsiTheme="minorEastAsia"/>
                <w:color w:val="0000FF"/>
                <w:kern w:val="0"/>
                <w:sz w:val="20"/>
                <w:szCs w:val="20"/>
                <w:lang w:val="en-US" w:eastAsia="zh-CN" w:bidi="ar-SA"/>
              </w:rPr>
            </w:pPr>
            <w:r>
              <w:rPr>
                <w:rFonts w:hint="eastAsia" w:asciiTheme="minorEastAsia" w:hAnsiTheme="minorEastAsia"/>
                <w:color w:val="000000" w:themeColor="text1"/>
                <w:kern w:val="0"/>
                <w:sz w:val="20"/>
                <w:szCs w:val="20"/>
                <w:highlight w:val="none"/>
                <w:lang w:val="en-US" w:eastAsia="zh-CN"/>
                <w14:textFill>
                  <w14:solidFill>
                    <w14:schemeClr w14:val="tx1"/>
                  </w14:solidFill>
                </w14:textFill>
              </w:rPr>
              <w:t xml:space="preserve">C、稿件主题鲜明，内容创意有吸引力，植入角度自然有深度，结合产品特点提炼到位、亮点突出，稿件质量评估好，得10~15分； </w:t>
            </w:r>
          </w:p>
        </w:tc>
        <w:tc>
          <w:tcPr>
            <w:tcW w:w="658" w:type="dxa"/>
            <w:vAlign w:val="center"/>
          </w:tcPr>
          <w:p w14:paraId="509C6312">
            <w:pPr>
              <w:jc w:val="center"/>
              <w:rPr>
                <w:rFonts w:hint="default" w:asciiTheme="minorEastAsia" w:hAnsiTheme="minorEastAsia"/>
                <w:color w:val="000000" w:themeColor="text1"/>
                <w:sz w:val="20"/>
                <w:szCs w:val="20"/>
                <w:lang w:val="en-US" w:eastAsia="zh-CN"/>
                <w14:textFill>
                  <w14:solidFill>
                    <w14:schemeClr w14:val="tx1"/>
                  </w14:solidFill>
                </w14:textFill>
              </w:rPr>
            </w:pPr>
            <w:r>
              <w:rPr>
                <w:rFonts w:hint="eastAsia" w:asciiTheme="minorEastAsia" w:hAnsiTheme="minorEastAsia"/>
                <w:color w:val="000000" w:themeColor="text1"/>
                <w:sz w:val="20"/>
                <w:szCs w:val="20"/>
                <w:lang w:val="en-US" w:eastAsia="zh-CN"/>
                <w14:textFill>
                  <w14:solidFill>
                    <w14:schemeClr w14:val="tx1"/>
                  </w14:solidFill>
                </w14:textFill>
              </w:rPr>
              <w:t>15</w:t>
            </w:r>
          </w:p>
        </w:tc>
        <w:tc>
          <w:tcPr>
            <w:tcW w:w="561" w:type="dxa"/>
            <w:vAlign w:val="center"/>
          </w:tcPr>
          <w:p w14:paraId="1AA43A35">
            <w:pPr>
              <w:jc w:val="center"/>
              <w:rPr>
                <w:rFonts w:asciiTheme="minorEastAsia" w:hAnsiTheme="minorEastAsia"/>
                <w:sz w:val="20"/>
                <w:szCs w:val="20"/>
              </w:rPr>
            </w:pPr>
          </w:p>
        </w:tc>
      </w:tr>
      <w:tr w14:paraId="4AF07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058" w:type="dxa"/>
            <w:vMerge w:val="restart"/>
            <w:vAlign w:val="center"/>
          </w:tcPr>
          <w:p w14:paraId="1FCF383A">
            <w:pPr>
              <w:jc w:val="left"/>
              <w:rPr>
                <w:rFonts w:hint="eastAsia" w:eastAsia="宋体" w:cs="Times New Roman" w:asciiTheme="minorEastAsia" w:hAnsiTheme="minorEastAsia"/>
                <w:kern w:val="0"/>
                <w:sz w:val="20"/>
                <w:szCs w:val="20"/>
                <w:lang w:val="en-US" w:eastAsia="zh-CN" w:bidi="ar-SA"/>
              </w:rPr>
            </w:pPr>
            <w:r>
              <w:rPr>
                <w:rFonts w:hint="eastAsia" w:eastAsia="宋体" w:cs="Times New Roman" w:asciiTheme="minorEastAsia" w:hAnsiTheme="minorEastAsia"/>
                <w:kern w:val="0"/>
                <w:sz w:val="20"/>
                <w:szCs w:val="20"/>
                <w:lang w:val="en-US" w:eastAsia="zh-CN" w:bidi="ar-SA"/>
              </w:rPr>
              <w:t>方案效果预估评估</w:t>
            </w:r>
          </w:p>
          <w:p w14:paraId="4D5D09D3">
            <w:pPr>
              <w:jc w:val="left"/>
              <w:rPr>
                <w:rFonts w:hint="eastAsia" w:eastAsia="宋体" w:cs="Times New Roman" w:asciiTheme="minorEastAsia" w:hAnsiTheme="minorEastAsia"/>
                <w:kern w:val="0"/>
                <w:sz w:val="20"/>
                <w:szCs w:val="20"/>
                <w:lang w:val="en-US" w:eastAsia="zh-CN" w:bidi="ar-SA"/>
              </w:rPr>
            </w:pPr>
            <w:r>
              <w:rPr>
                <w:rFonts w:hint="eastAsia" w:eastAsia="宋体" w:cs="Times New Roman" w:asciiTheme="minorEastAsia" w:hAnsiTheme="minorEastAsia"/>
                <w:kern w:val="0"/>
                <w:sz w:val="20"/>
                <w:szCs w:val="20"/>
                <w:lang w:val="en-US" w:eastAsia="zh-CN" w:bidi="ar-SA"/>
              </w:rPr>
              <w:t>（20分）</w:t>
            </w:r>
          </w:p>
        </w:tc>
        <w:tc>
          <w:tcPr>
            <w:tcW w:w="8140" w:type="dxa"/>
            <w:vAlign w:val="center"/>
          </w:tcPr>
          <w:p w14:paraId="2499D358">
            <w:pPr>
              <w:jc w:val="left"/>
              <w:rPr>
                <w:rFonts w:hint="default" w:cs="Times New Roman" w:asciiTheme="minorEastAsia" w:hAnsiTheme="minorEastAsia" w:eastAsiaTheme="minorEastAsia"/>
                <w:kern w:val="0"/>
                <w:sz w:val="20"/>
                <w:szCs w:val="20"/>
                <w:highlight w:val="none"/>
                <w:lang w:val="en-US" w:eastAsia="zh-CN" w:bidi="ar-SA"/>
              </w:rPr>
            </w:pPr>
            <w:r>
              <w:rPr>
                <w:rFonts w:hint="eastAsia" w:eastAsia="宋体" w:cs="Times New Roman" w:asciiTheme="minorEastAsia" w:hAnsiTheme="minorEastAsia"/>
                <w:kern w:val="0"/>
                <w:sz w:val="20"/>
                <w:szCs w:val="20"/>
                <w:highlight w:val="none"/>
                <w:lang w:val="en-US" w:eastAsia="zh-CN" w:bidi="ar-SA"/>
              </w:rPr>
              <w:t>1、AB板块-小红书</w:t>
            </w:r>
            <w:r>
              <w:rPr>
                <w:rFonts w:hint="eastAsia"/>
                <w:sz w:val="18"/>
                <w:szCs w:val="18"/>
              </w:rPr>
              <w:t>互动量</w:t>
            </w:r>
            <w:r>
              <w:rPr>
                <w:rFonts w:hint="eastAsia"/>
                <w:sz w:val="18"/>
                <w:szCs w:val="18"/>
                <w:lang w:eastAsia="zh-CN"/>
              </w:rPr>
              <w:t>（</w:t>
            </w:r>
            <w:r>
              <w:rPr>
                <w:rFonts w:hint="eastAsia"/>
                <w:sz w:val="18"/>
                <w:szCs w:val="18"/>
                <w:lang w:val="en-US" w:eastAsia="zh-CN"/>
              </w:rPr>
              <w:t>最低互动量10W）</w:t>
            </w:r>
          </w:p>
        </w:tc>
        <w:tc>
          <w:tcPr>
            <w:tcW w:w="658" w:type="dxa"/>
            <w:vAlign w:val="center"/>
          </w:tcPr>
          <w:p w14:paraId="53BC35CE">
            <w:pPr>
              <w:jc w:val="center"/>
              <w:rPr>
                <w:rFonts w:hint="default" w:asciiTheme="minorEastAsia" w:hAnsiTheme="minorEastAsia" w:eastAsiaTheme="minorEastAsia"/>
                <w:color w:val="000000" w:themeColor="text1"/>
                <w:sz w:val="20"/>
                <w:szCs w:val="20"/>
                <w:highlight w:val="none"/>
                <w:lang w:val="en-US" w:eastAsia="zh-CN"/>
                <w14:textFill>
                  <w14:solidFill>
                    <w14:schemeClr w14:val="tx1"/>
                  </w14:solidFill>
                </w14:textFill>
              </w:rPr>
            </w:pPr>
            <w:r>
              <w:rPr>
                <w:rFonts w:hint="eastAsia" w:asciiTheme="minorEastAsia" w:hAnsiTheme="minorEastAsia"/>
                <w:color w:val="000000" w:themeColor="text1"/>
                <w:sz w:val="20"/>
                <w:szCs w:val="20"/>
                <w:highlight w:val="none"/>
                <w:lang w:val="en-US" w:eastAsia="zh-CN"/>
                <w14:textFill>
                  <w14:solidFill>
                    <w14:schemeClr w14:val="tx1"/>
                  </w14:solidFill>
                </w14:textFill>
              </w:rPr>
              <w:t>2</w:t>
            </w:r>
          </w:p>
        </w:tc>
        <w:tc>
          <w:tcPr>
            <w:tcW w:w="561" w:type="dxa"/>
            <w:vAlign w:val="center"/>
          </w:tcPr>
          <w:p w14:paraId="16AE87BD">
            <w:pPr>
              <w:jc w:val="center"/>
              <w:rPr>
                <w:rFonts w:asciiTheme="minorEastAsia" w:hAnsiTheme="minorEastAsia"/>
                <w:sz w:val="20"/>
                <w:szCs w:val="20"/>
                <w:highlight w:val="yellow"/>
              </w:rPr>
            </w:pPr>
          </w:p>
        </w:tc>
      </w:tr>
      <w:tr w14:paraId="48BFA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058" w:type="dxa"/>
            <w:vMerge w:val="continue"/>
            <w:vAlign w:val="center"/>
          </w:tcPr>
          <w:p w14:paraId="7BEBD57E">
            <w:pPr>
              <w:jc w:val="left"/>
              <w:rPr>
                <w:rFonts w:hint="eastAsia" w:eastAsia="宋体" w:cs="Times New Roman" w:asciiTheme="minorEastAsia" w:hAnsiTheme="minorEastAsia"/>
                <w:kern w:val="0"/>
                <w:sz w:val="20"/>
                <w:szCs w:val="20"/>
                <w:lang w:val="en-US" w:eastAsia="zh-CN" w:bidi="ar-SA"/>
              </w:rPr>
            </w:pPr>
          </w:p>
        </w:tc>
        <w:tc>
          <w:tcPr>
            <w:tcW w:w="8140" w:type="dxa"/>
            <w:vAlign w:val="center"/>
          </w:tcPr>
          <w:p w14:paraId="6ED33359">
            <w:pPr>
              <w:jc w:val="left"/>
              <w:rPr>
                <w:rFonts w:hint="default" w:eastAsia="宋体" w:cs="Times New Roman" w:asciiTheme="minorEastAsia" w:hAnsiTheme="minorEastAsia"/>
                <w:kern w:val="0"/>
                <w:sz w:val="20"/>
                <w:szCs w:val="20"/>
                <w:lang w:val="en-US" w:eastAsia="zh-CN" w:bidi="ar-SA"/>
              </w:rPr>
            </w:pPr>
            <w:r>
              <w:rPr>
                <w:rFonts w:hint="eastAsia" w:eastAsia="宋体" w:cs="Times New Roman" w:asciiTheme="minorEastAsia" w:hAnsiTheme="minorEastAsia"/>
                <w:kern w:val="0"/>
                <w:sz w:val="20"/>
                <w:szCs w:val="20"/>
                <w:lang w:val="en-US" w:eastAsia="zh-CN" w:bidi="ar-SA"/>
              </w:rPr>
              <w:t>2、</w:t>
            </w:r>
            <w:r>
              <w:rPr>
                <w:rFonts w:hint="eastAsia" w:eastAsia="宋体" w:cs="Times New Roman" w:asciiTheme="minorEastAsia" w:hAnsiTheme="minorEastAsia"/>
                <w:kern w:val="0"/>
                <w:sz w:val="20"/>
                <w:szCs w:val="20"/>
                <w:highlight w:val="none"/>
                <w:lang w:val="en-US" w:eastAsia="zh-CN" w:bidi="ar-SA"/>
              </w:rPr>
              <w:t>AB板块-</w:t>
            </w:r>
            <w:r>
              <w:rPr>
                <w:rFonts w:hint="eastAsia"/>
                <w:sz w:val="18"/>
                <w:szCs w:val="18"/>
              </w:rPr>
              <w:t>小红书爆文率（小红书爆文标准：内容互动破</w:t>
            </w:r>
            <w:r>
              <w:rPr>
                <w:rFonts w:hint="eastAsia"/>
                <w:sz w:val="18"/>
                <w:szCs w:val="18"/>
                <w:lang w:val="en-US" w:eastAsia="zh-CN"/>
              </w:rPr>
              <w:t>5000</w:t>
            </w:r>
            <w:r>
              <w:rPr>
                <w:rFonts w:hint="eastAsia"/>
                <w:sz w:val="18"/>
                <w:szCs w:val="18"/>
              </w:rPr>
              <w:t>，</w:t>
            </w:r>
            <w:r>
              <w:rPr>
                <w:rFonts w:hint="eastAsia"/>
                <w:b/>
                <w:bCs/>
                <w:sz w:val="18"/>
                <w:szCs w:val="18"/>
                <w:lang w:val="en-US" w:eastAsia="zh-CN"/>
              </w:rPr>
              <w:t>且</w:t>
            </w:r>
            <w:r>
              <w:rPr>
                <w:rFonts w:hint="eastAsia"/>
                <w:b/>
                <w:bCs/>
                <w:sz w:val="18"/>
                <w:szCs w:val="18"/>
              </w:rPr>
              <w:t>阅读量破</w:t>
            </w:r>
            <w:r>
              <w:rPr>
                <w:rFonts w:hint="eastAsia"/>
                <w:b/>
                <w:bCs/>
                <w:sz w:val="18"/>
                <w:szCs w:val="18"/>
                <w:lang w:val="en-US" w:eastAsia="zh-CN"/>
              </w:rPr>
              <w:t>2</w:t>
            </w:r>
            <w:r>
              <w:rPr>
                <w:rFonts w:hint="eastAsia"/>
                <w:b/>
                <w:bCs/>
                <w:sz w:val="18"/>
                <w:szCs w:val="18"/>
              </w:rPr>
              <w:t>万</w:t>
            </w:r>
            <w:r>
              <w:rPr>
                <w:rFonts w:hint="eastAsia"/>
                <w:sz w:val="18"/>
                <w:szCs w:val="18"/>
              </w:rPr>
              <w:t>）</w:t>
            </w:r>
          </w:p>
        </w:tc>
        <w:tc>
          <w:tcPr>
            <w:tcW w:w="658" w:type="dxa"/>
            <w:vAlign w:val="center"/>
          </w:tcPr>
          <w:p w14:paraId="1267E840">
            <w:pPr>
              <w:jc w:val="center"/>
              <w:rPr>
                <w:rFonts w:hint="default" w:asciiTheme="minorEastAsia" w:hAnsiTheme="minorEastAsia"/>
                <w:color w:val="000000" w:themeColor="text1"/>
                <w:sz w:val="20"/>
                <w:szCs w:val="20"/>
                <w:lang w:val="en-US" w:eastAsia="zh-CN"/>
                <w14:textFill>
                  <w14:solidFill>
                    <w14:schemeClr w14:val="tx1"/>
                  </w14:solidFill>
                </w14:textFill>
              </w:rPr>
            </w:pPr>
            <w:r>
              <w:rPr>
                <w:rFonts w:hint="eastAsia" w:asciiTheme="minorEastAsia" w:hAnsiTheme="minorEastAsia"/>
                <w:color w:val="000000" w:themeColor="text1"/>
                <w:sz w:val="20"/>
                <w:szCs w:val="20"/>
                <w:lang w:val="en-US" w:eastAsia="zh-CN"/>
                <w14:textFill>
                  <w14:solidFill>
                    <w14:schemeClr w14:val="tx1"/>
                  </w14:solidFill>
                </w14:textFill>
              </w:rPr>
              <w:t>3</w:t>
            </w:r>
          </w:p>
        </w:tc>
        <w:tc>
          <w:tcPr>
            <w:tcW w:w="561" w:type="dxa"/>
            <w:vAlign w:val="center"/>
          </w:tcPr>
          <w:p w14:paraId="13FA962D">
            <w:pPr>
              <w:jc w:val="center"/>
              <w:rPr>
                <w:rFonts w:asciiTheme="minorEastAsia" w:hAnsiTheme="minorEastAsia"/>
                <w:sz w:val="20"/>
                <w:szCs w:val="20"/>
                <w:highlight w:val="yellow"/>
              </w:rPr>
            </w:pPr>
          </w:p>
        </w:tc>
      </w:tr>
      <w:tr w14:paraId="5FA9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058" w:type="dxa"/>
            <w:vMerge w:val="continue"/>
            <w:vAlign w:val="center"/>
          </w:tcPr>
          <w:p w14:paraId="23AEC69E">
            <w:pPr>
              <w:jc w:val="left"/>
              <w:rPr>
                <w:rFonts w:hint="eastAsia" w:eastAsia="宋体" w:cs="Times New Roman" w:asciiTheme="minorEastAsia" w:hAnsiTheme="minorEastAsia"/>
                <w:kern w:val="0"/>
                <w:sz w:val="20"/>
                <w:szCs w:val="20"/>
                <w:lang w:val="en-US" w:eastAsia="zh-CN" w:bidi="ar-SA"/>
              </w:rPr>
            </w:pPr>
          </w:p>
        </w:tc>
        <w:tc>
          <w:tcPr>
            <w:tcW w:w="8140" w:type="dxa"/>
            <w:vAlign w:val="center"/>
          </w:tcPr>
          <w:p w14:paraId="0E81FD7D">
            <w:pPr>
              <w:jc w:val="left"/>
              <w:rPr>
                <w:rFonts w:hint="default" w:eastAsia="宋体" w:cs="Times New Roman" w:asciiTheme="minorEastAsia" w:hAnsiTheme="minorEastAsia"/>
                <w:color w:val="000000" w:themeColor="text1"/>
                <w:kern w:val="0"/>
                <w:sz w:val="20"/>
                <w:szCs w:val="20"/>
                <w:lang w:val="en-US" w:eastAsia="zh-CN" w:bidi="ar-SA"/>
                <w14:textFill>
                  <w14:solidFill>
                    <w14:schemeClr w14:val="tx1"/>
                  </w14:solidFill>
                </w14:textFill>
              </w:rPr>
            </w:pPr>
            <w:r>
              <w:rPr>
                <w:rFonts w:hint="eastAsia" w:eastAsia="宋体" w:cs="Times New Roman" w:asciiTheme="minorEastAsia" w:hAnsiTheme="minorEastAsia"/>
                <w:color w:val="000000" w:themeColor="text1"/>
                <w:kern w:val="0"/>
                <w:sz w:val="20"/>
                <w:szCs w:val="20"/>
                <w:lang w:val="en-US" w:eastAsia="zh-CN" w:bidi="ar-SA"/>
                <w14:textFill>
                  <w14:solidFill>
                    <w14:schemeClr w14:val="tx1"/>
                  </w14:solidFill>
                </w14:textFill>
              </w:rPr>
              <w:t>3、AB板块-</w:t>
            </w:r>
            <w:r>
              <w:rPr>
                <w:rFonts w:hint="eastAsia" w:asciiTheme="minorEastAsia" w:hAnsiTheme="minorEastAsia"/>
                <w:color w:val="000000" w:themeColor="text1"/>
                <w:sz w:val="18"/>
                <w:szCs w:val="18"/>
                <w:lang w:val="en-US" w:eastAsia="zh-CN"/>
                <w14:textFill>
                  <w14:solidFill>
                    <w14:schemeClr w14:val="tx1"/>
                  </w14:solidFill>
                </w14:textFill>
              </w:rPr>
              <w:t>种草投流 CPE（数值在20以内）</w:t>
            </w:r>
          </w:p>
        </w:tc>
        <w:tc>
          <w:tcPr>
            <w:tcW w:w="658" w:type="dxa"/>
            <w:vAlign w:val="center"/>
          </w:tcPr>
          <w:p w14:paraId="6B1C710B">
            <w:pPr>
              <w:jc w:val="center"/>
              <w:rPr>
                <w:rFonts w:hint="default" w:asciiTheme="minorEastAsia" w:hAnsiTheme="minorEastAsia" w:eastAsiaTheme="minorEastAsia"/>
                <w:color w:val="000000" w:themeColor="text1"/>
                <w:sz w:val="20"/>
                <w:szCs w:val="20"/>
                <w:lang w:val="en-US" w:eastAsia="zh-CN"/>
                <w14:textFill>
                  <w14:solidFill>
                    <w14:schemeClr w14:val="tx1"/>
                  </w14:solidFill>
                </w14:textFill>
              </w:rPr>
            </w:pPr>
            <w:r>
              <w:rPr>
                <w:rFonts w:hint="eastAsia" w:asciiTheme="minorEastAsia" w:hAnsiTheme="minorEastAsia"/>
                <w:color w:val="000000" w:themeColor="text1"/>
                <w:sz w:val="20"/>
                <w:szCs w:val="20"/>
                <w:lang w:val="en-US" w:eastAsia="zh-CN"/>
                <w14:textFill>
                  <w14:solidFill>
                    <w14:schemeClr w14:val="tx1"/>
                  </w14:solidFill>
                </w14:textFill>
              </w:rPr>
              <w:t>2</w:t>
            </w:r>
          </w:p>
        </w:tc>
        <w:tc>
          <w:tcPr>
            <w:tcW w:w="561" w:type="dxa"/>
            <w:vAlign w:val="center"/>
          </w:tcPr>
          <w:p w14:paraId="7EECB70A">
            <w:pPr>
              <w:jc w:val="center"/>
              <w:rPr>
                <w:rFonts w:asciiTheme="minorEastAsia" w:hAnsiTheme="minorEastAsia"/>
                <w:sz w:val="20"/>
                <w:szCs w:val="20"/>
                <w:highlight w:val="yellow"/>
              </w:rPr>
            </w:pPr>
          </w:p>
        </w:tc>
      </w:tr>
      <w:tr w14:paraId="00F7D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058" w:type="dxa"/>
            <w:vMerge w:val="continue"/>
            <w:vAlign w:val="center"/>
          </w:tcPr>
          <w:p w14:paraId="6A3DA6DE">
            <w:pPr>
              <w:jc w:val="left"/>
              <w:rPr>
                <w:rFonts w:hint="eastAsia" w:eastAsia="宋体" w:cs="Times New Roman" w:asciiTheme="minorEastAsia" w:hAnsiTheme="minorEastAsia"/>
                <w:kern w:val="0"/>
                <w:sz w:val="20"/>
                <w:szCs w:val="20"/>
                <w:lang w:val="en-US" w:eastAsia="zh-CN" w:bidi="ar-SA"/>
              </w:rPr>
            </w:pPr>
          </w:p>
        </w:tc>
        <w:tc>
          <w:tcPr>
            <w:tcW w:w="8140" w:type="dxa"/>
            <w:vAlign w:val="center"/>
          </w:tcPr>
          <w:p w14:paraId="0F16468C">
            <w:pPr>
              <w:jc w:val="left"/>
              <w:rPr>
                <w:rFonts w:hint="default" w:eastAsia="宋体" w:cs="Times New Roman" w:asciiTheme="minorEastAsia" w:hAnsiTheme="minorEastAsia"/>
                <w:color w:val="000000" w:themeColor="text1"/>
                <w:kern w:val="0"/>
                <w:sz w:val="20"/>
                <w:szCs w:val="20"/>
                <w:highlight w:val="none"/>
                <w:lang w:val="en-US" w:eastAsia="zh-CN" w:bidi="ar-SA"/>
                <w14:textFill>
                  <w14:solidFill>
                    <w14:schemeClr w14:val="tx1"/>
                  </w14:solidFill>
                </w14:textFill>
              </w:rPr>
            </w:pPr>
            <w:r>
              <w:rPr>
                <w:rFonts w:hint="eastAsia" w:eastAsia="宋体" w:cs="Times New Roman" w:asciiTheme="minorEastAsia" w:hAnsiTheme="minorEastAsia"/>
                <w:color w:val="000000" w:themeColor="text1"/>
                <w:kern w:val="0"/>
                <w:sz w:val="20"/>
                <w:szCs w:val="20"/>
                <w:highlight w:val="none"/>
                <w:lang w:val="en-US" w:eastAsia="zh-CN" w:bidi="ar-SA"/>
                <w14:textFill>
                  <w14:solidFill>
                    <w14:schemeClr w14:val="tx1"/>
                  </w14:solidFill>
                </w14:textFill>
              </w:rPr>
              <w:t>4、</w:t>
            </w:r>
            <w:r>
              <w:rPr>
                <w:rFonts w:hint="eastAsia" w:eastAsia="宋体" w:cs="Times New Roman" w:asciiTheme="minorEastAsia" w:hAnsiTheme="minorEastAsia"/>
                <w:color w:val="000000" w:themeColor="text1"/>
                <w:kern w:val="0"/>
                <w:sz w:val="20"/>
                <w:szCs w:val="20"/>
                <w:lang w:val="en-US" w:eastAsia="zh-CN" w:bidi="ar-SA"/>
                <w14:textFill>
                  <w14:solidFill>
                    <w14:schemeClr w14:val="tx1"/>
                  </w14:solidFill>
                </w14:textFill>
              </w:rPr>
              <w:t>AB板块-</w:t>
            </w:r>
            <w:r>
              <w:rPr>
                <w:rFonts w:hint="eastAsia" w:asciiTheme="minorEastAsia" w:hAnsiTheme="minorEastAsia"/>
                <w:color w:val="000000" w:themeColor="text1"/>
                <w:sz w:val="18"/>
                <w:szCs w:val="18"/>
                <w:lang w:val="en-US" w:eastAsia="zh-CN"/>
                <w14:textFill>
                  <w14:solidFill>
                    <w14:schemeClr w14:val="tx1"/>
                  </w14:solidFill>
                </w14:textFill>
              </w:rPr>
              <w:t>进店 UV(即导流天猫官旗店的访客量，含种草、投流、红猫计划，且UA最低2W)</w:t>
            </w:r>
          </w:p>
        </w:tc>
        <w:tc>
          <w:tcPr>
            <w:tcW w:w="658" w:type="dxa"/>
            <w:vAlign w:val="center"/>
          </w:tcPr>
          <w:p w14:paraId="1CE6A1DD">
            <w:pPr>
              <w:jc w:val="center"/>
              <w:rPr>
                <w:rFonts w:hint="default" w:asciiTheme="minorEastAsia" w:hAnsiTheme="minorEastAsia"/>
                <w:color w:val="000000" w:themeColor="text1"/>
                <w:sz w:val="20"/>
                <w:szCs w:val="20"/>
                <w:highlight w:val="none"/>
                <w:lang w:val="en-US" w:eastAsia="zh-CN"/>
                <w14:textFill>
                  <w14:solidFill>
                    <w14:schemeClr w14:val="tx1"/>
                  </w14:solidFill>
                </w14:textFill>
              </w:rPr>
            </w:pPr>
            <w:r>
              <w:rPr>
                <w:rFonts w:hint="eastAsia" w:asciiTheme="minorEastAsia" w:hAnsiTheme="minorEastAsia"/>
                <w:color w:val="000000" w:themeColor="text1"/>
                <w:sz w:val="20"/>
                <w:szCs w:val="20"/>
                <w:highlight w:val="none"/>
                <w:lang w:val="en-US" w:eastAsia="zh-CN"/>
                <w14:textFill>
                  <w14:solidFill>
                    <w14:schemeClr w14:val="tx1"/>
                  </w14:solidFill>
                </w14:textFill>
              </w:rPr>
              <w:t>5</w:t>
            </w:r>
          </w:p>
        </w:tc>
        <w:tc>
          <w:tcPr>
            <w:tcW w:w="561" w:type="dxa"/>
            <w:vAlign w:val="center"/>
          </w:tcPr>
          <w:p w14:paraId="548D2C80">
            <w:pPr>
              <w:jc w:val="center"/>
              <w:rPr>
                <w:rFonts w:asciiTheme="minorEastAsia" w:hAnsiTheme="minorEastAsia"/>
                <w:sz w:val="20"/>
                <w:szCs w:val="20"/>
                <w:highlight w:val="yellow"/>
              </w:rPr>
            </w:pPr>
          </w:p>
        </w:tc>
      </w:tr>
      <w:tr w14:paraId="235EE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058" w:type="dxa"/>
            <w:vMerge w:val="continue"/>
            <w:vAlign w:val="center"/>
          </w:tcPr>
          <w:p w14:paraId="4703C4B2">
            <w:pPr>
              <w:jc w:val="left"/>
              <w:rPr>
                <w:rFonts w:hint="eastAsia" w:eastAsia="宋体" w:cs="Times New Roman" w:asciiTheme="minorEastAsia" w:hAnsiTheme="minorEastAsia"/>
                <w:kern w:val="0"/>
                <w:sz w:val="20"/>
                <w:szCs w:val="20"/>
                <w:lang w:val="en-US" w:eastAsia="zh-CN" w:bidi="ar-SA"/>
              </w:rPr>
            </w:pPr>
          </w:p>
        </w:tc>
        <w:tc>
          <w:tcPr>
            <w:tcW w:w="8140" w:type="dxa"/>
            <w:vAlign w:val="center"/>
          </w:tcPr>
          <w:p w14:paraId="33809CFD">
            <w:pPr>
              <w:jc w:val="left"/>
              <w:rPr>
                <w:rFonts w:hint="default" w:eastAsia="宋体" w:cs="Times New Roman" w:asciiTheme="minorEastAsia" w:hAnsiTheme="minorEastAsia"/>
                <w:color w:val="000000" w:themeColor="text1"/>
                <w:kern w:val="0"/>
                <w:sz w:val="20"/>
                <w:szCs w:val="20"/>
                <w:lang w:val="en-US" w:eastAsia="zh-CN" w:bidi="ar-SA"/>
                <w14:textFill>
                  <w14:solidFill>
                    <w14:schemeClr w14:val="tx1"/>
                  </w14:solidFill>
                </w14:textFill>
              </w:rPr>
            </w:pPr>
            <w:r>
              <w:rPr>
                <w:rFonts w:hint="eastAsia" w:eastAsia="宋体" w:cs="Times New Roman" w:asciiTheme="minorEastAsia" w:hAnsiTheme="minorEastAsia"/>
                <w:color w:val="000000" w:themeColor="text1"/>
                <w:kern w:val="0"/>
                <w:sz w:val="20"/>
                <w:szCs w:val="20"/>
                <w:lang w:val="en-US" w:eastAsia="zh-CN" w:bidi="ar-SA"/>
                <w14:textFill>
                  <w14:solidFill>
                    <w14:schemeClr w14:val="tx1"/>
                  </w14:solidFill>
                </w14:textFill>
              </w:rPr>
              <w:t>5、C板块</w:t>
            </w:r>
            <w:r>
              <w:rPr>
                <w:rFonts w:hint="eastAsia" w:asciiTheme="minorEastAsia" w:hAnsiTheme="minorEastAsia"/>
                <w:color w:val="000000" w:themeColor="text1"/>
                <w:sz w:val="18"/>
                <w:szCs w:val="18"/>
                <w:lang w:val="en-US" w:eastAsia="zh-CN"/>
                <w14:textFill>
                  <w14:solidFill>
                    <w14:schemeClr w14:val="tx1"/>
                  </w14:solidFill>
                </w14:textFill>
              </w:rPr>
              <w:t>预期达成的话题浏览量（最低浏览量600万）</w:t>
            </w:r>
          </w:p>
        </w:tc>
        <w:tc>
          <w:tcPr>
            <w:tcW w:w="658" w:type="dxa"/>
            <w:vAlign w:val="center"/>
          </w:tcPr>
          <w:p w14:paraId="509E69CC">
            <w:pPr>
              <w:jc w:val="center"/>
              <w:rPr>
                <w:rFonts w:hint="default" w:asciiTheme="minorEastAsia" w:hAnsiTheme="minorEastAsia"/>
                <w:color w:val="000000" w:themeColor="text1"/>
                <w:sz w:val="20"/>
                <w:szCs w:val="20"/>
                <w:lang w:val="en-US" w:eastAsia="zh-CN"/>
                <w14:textFill>
                  <w14:solidFill>
                    <w14:schemeClr w14:val="tx1"/>
                  </w14:solidFill>
                </w14:textFill>
              </w:rPr>
            </w:pPr>
            <w:r>
              <w:rPr>
                <w:rFonts w:hint="eastAsia" w:asciiTheme="minorEastAsia" w:hAnsiTheme="minorEastAsia"/>
                <w:color w:val="000000" w:themeColor="text1"/>
                <w:sz w:val="20"/>
                <w:szCs w:val="20"/>
                <w:lang w:val="en-US" w:eastAsia="zh-CN"/>
                <w14:textFill>
                  <w14:solidFill>
                    <w14:schemeClr w14:val="tx1"/>
                  </w14:solidFill>
                </w14:textFill>
              </w:rPr>
              <w:t>5</w:t>
            </w:r>
          </w:p>
        </w:tc>
        <w:tc>
          <w:tcPr>
            <w:tcW w:w="561" w:type="dxa"/>
            <w:vAlign w:val="center"/>
          </w:tcPr>
          <w:p w14:paraId="4EF9625E">
            <w:pPr>
              <w:jc w:val="center"/>
              <w:rPr>
                <w:rFonts w:asciiTheme="minorEastAsia" w:hAnsiTheme="minorEastAsia"/>
                <w:sz w:val="20"/>
                <w:szCs w:val="20"/>
                <w:highlight w:val="yellow"/>
              </w:rPr>
            </w:pPr>
          </w:p>
        </w:tc>
      </w:tr>
      <w:tr w14:paraId="05113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058" w:type="dxa"/>
            <w:vMerge w:val="continue"/>
            <w:vAlign w:val="center"/>
          </w:tcPr>
          <w:p w14:paraId="1C5729C2">
            <w:pPr>
              <w:jc w:val="left"/>
              <w:rPr>
                <w:rFonts w:hint="eastAsia" w:eastAsia="宋体" w:cs="Times New Roman" w:asciiTheme="minorEastAsia" w:hAnsiTheme="minorEastAsia"/>
                <w:kern w:val="0"/>
                <w:sz w:val="20"/>
                <w:szCs w:val="20"/>
                <w:lang w:val="en-US" w:eastAsia="zh-CN" w:bidi="ar-SA"/>
              </w:rPr>
            </w:pPr>
          </w:p>
        </w:tc>
        <w:tc>
          <w:tcPr>
            <w:tcW w:w="8140" w:type="dxa"/>
            <w:vAlign w:val="center"/>
          </w:tcPr>
          <w:p w14:paraId="5D6B11BC">
            <w:pPr>
              <w:jc w:val="left"/>
              <w:rPr>
                <w:rFonts w:hint="default" w:eastAsia="宋体" w:cs="Times New Roman" w:asciiTheme="minorEastAsia" w:hAnsiTheme="minorEastAsia"/>
                <w:color w:val="000000" w:themeColor="text1"/>
                <w:kern w:val="0"/>
                <w:sz w:val="20"/>
                <w:szCs w:val="20"/>
                <w:lang w:val="en-US" w:eastAsia="zh-CN" w:bidi="ar-SA"/>
                <w14:textFill>
                  <w14:solidFill>
                    <w14:schemeClr w14:val="tx1"/>
                  </w14:solidFill>
                </w14:textFill>
              </w:rPr>
            </w:pPr>
            <w:r>
              <w:rPr>
                <w:rFonts w:hint="eastAsia" w:eastAsia="宋体" w:cs="Times New Roman" w:asciiTheme="minorEastAsia" w:hAnsiTheme="minorEastAsia"/>
                <w:color w:val="000000" w:themeColor="text1"/>
                <w:kern w:val="0"/>
                <w:sz w:val="20"/>
                <w:szCs w:val="20"/>
                <w:lang w:val="en-US" w:eastAsia="zh-CN" w:bidi="ar-SA"/>
                <w14:textFill>
                  <w14:solidFill>
                    <w14:schemeClr w14:val="tx1"/>
                  </w14:solidFill>
                </w14:textFill>
              </w:rPr>
              <w:t>6、C板块</w:t>
            </w:r>
            <w:r>
              <w:rPr>
                <w:rFonts w:hint="eastAsia" w:asciiTheme="minorEastAsia" w:hAnsiTheme="minorEastAsia" w:eastAsiaTheme="minorEastAsia" w:cstheme="minorBidi"/>
                <w:color w:val="000000" w:themeColor="text1"/>
                <w:kern w:val="2"/>
                <w:sz w:val="18"/>
                <w:szCs w:val="18"/>
                <w:lang w:val="en-US" w:eastAsia="zh-CN" w:bidi="ar-SA"/>
                <w14:textFill>
                  <w14:solidFill>
                    <w14:schemeClr w14:val="tx1"/>
                  </w14:solidFill>
                </w14:textFill>
              </w:rPr>
              <w:t>新增</w:t>
            </w:r>
            <w:r>
              <w:rPr>
                <w:rFonts w:hint="eastAsia" w:asciiTheme="minorEastAsia" w:hAnsiTheme="minorEastAsia" w:cstheme="minorBidi"/>
                <w:color w:val="000000" w:themeColor="text1"/>
                <w:kern w:val="2"/>
                <w:sz w:val="18"/>
                <w:szCs w:val="18"/>
                <w:lang w:val="en-US" w:eastAsia="zh-CN" w:bidi="ar-SA"/>
                <w14:textFill>
                  <w14:solidFill>
                    <w14:schemeClr w14:val="tx1"/>
                  </w14:solidFill>
                </w14:textFill>
              </w:rPr>
              <w:t>UGC</w:t>
            </w:r>
            <w:r>
              <w:rPr>
                <w:rFonts w:hint="eastAsia" w:asciiTheme="minorEastAsia" w:hAnsiTheme="minorEastAsia" w:eastAsiaTheme="minorEastAsia" w:cstheme="minorBidi"/>
                <w:color w:val="000000" w:themeColor="text1"/>
                <w:kern w:val="2"/>
                <w:sz w:val="18"/>
                <w:szCs w:val="18"/>
                <w:lang w:val="en-US" w:eastAsia="zh-CN" w:bidi="ar-SA"/>
                <w14:textFill>
                  <w14:solidFill>
                    <w14:schemeClr w14:val="tx1"/>
                  </w14:solidFill>
                </w14:textFill>
              </w:rPr>
              <w:t>（最低</w:t>
            </w:r>
            <w:r>
              <w:rPr>
                <w:rFonts w:hint="eastAsia" w:asciiTheme="minorEastAsia" w:hAnsiTheme="minorEastAsia" w:cstheme="minorBidi"/>
                <w:color w:val="000000" w:themeColor="text1"/>
                <w:kern w:val="2"/>
                <w:sz w:val="18"/>
                <w:szCs w:val="18"/>
                <w:lang w:val="en-US" w:eastAsia="zh-CN" w:bidi="ar-SA"/>
                <w14:textFill>
                  <w14:solidFill>
                    <w14:schemeClr w14:val="tx1"/>
                  </w14:solidFill>
                </w14:textFill>
              </w:rPr>
              <w:t>5000</w:t>
            </w:r>
            <w:r>
              <w:rPr>
                <w:rFonts w:hint="eastAsia" w:asciiTheme="minorEastAsia" w:hAnsiTheme="minorEastAsia" w:eastAsiaTheme="minorEastAsia" w:cstheme="minorBidi"/>
                <w:color w:val="000000" w:themeColor="text1"/>
                <w:kern w:val="2"/>
                <w:sz w:val="18"/>
                <w:szCs w:val="18"/>
                <w:lang w:val="en-US" w:eastAsia="zh-CN" w:bidi="ar-SA"/>
                <w14:textFill>
                  <w14:solidFill>
                    <w14:schemeClr w14:val="tx1"/>
                  </w14:solidFill>
                </w14:textFill>
              </w:rPr>
              <w:t>）</w:t>
            </w:r>
          </w:p>
        </w:tc>
        <w:tc>
          <w:tcPr>
            <w:tcW w:w="658" w:type="dxa"/>
            <w:vAlign w:val="center"/>
          </w:tcPr>
          <w:p w14:paraId="1AC1860D">
            <w:pPr>
              <w:jc w:val="center"/>
              <w:rPr>
                <w:rFonts w:hint="default" w:asciiTheme="minorEastAsia" w:hAnsiTheme="minorEastAsia"/>
                <w:color w:val="000000" w:themeColor="text1"/>
                <w:sz w:val="20"/>
                <w:szCs w:val="20"/>
                <w:lang w:val="en-US" w:eastAsia="zh-CN"/>
                <w14:textFill>
                  <w14:solidFill>
                    <w14:schemeClr w14:val="tx1"/>
                  </w14:solidFill>
                </w14:textFill>
              </w:rPr>
            </w:pPr>
            <w:r>
              <w:rPr>
                <w:rFonts w:hint="eastAsia" w:asciiTheme="minorEastAsia" w:hAnsiTheme="minorEastAsia"/>
                <w:color w:val="000000" w:themeColor="text1"/>
                <w:sz w:val="20"/>
                <w:szCs w:val="20"/>
                <w:lang w:val="en-US" w:eastAsia="zh-CN"/>
                <w14:textFill>
                  <w14:solidFill>
                    <w14:schemeClr w14:val="tx1"/>
                  </w14:solidFill>
                </w14:textFill>
              </w:rPr>
              <w:t>3</w:t>
            </w:r>
          </w:p>
        </w:tc>
        <w:tc>
          <w:tcPr>
            <w:tcW w:w="561" w:type="dxa"/>
            <w:vAlign w:val="center"/>
          </w:tcPr>
          <w:p w14:paraId="2DB44BB0">
            <w:pPr>
              <w:jc w:val="center"/>
              <w:rPr>
                <w:rFonts w:asciiTheme="minorEastAsia" w:hAnsiTheme="minorEastAsia"/>
                <w:sz w:val="20"/>
                <w:szCs w:val="20"/>
                <w:highlight w:val="yellow"/>
              </w:rPr>
            </w:pPr>
          </w:p>
        </w:tc>
      </w:tr>
      <w:tr w14:paraId="277C0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4" w:hRule="atLeast"/>
        </w:trPr>
        <w:tc>
          <w:tcPr>
            <w:tcW w:w="1058" w:type="dxa"/>
            <w:vMerge w:val="continue"/>
            <w:vAlign w:val="center"/>
          </w:tcPr>
          <w:p w14:paraId="45747D3D">
            <w:pPr>
              <w:jc w:val="left"/>
              <w:rPr>
                <w:rFonts w:hint="eastAsia" w:eastAsia="宋体" w:cs="Times New Roman" w:asciiTheme="minorEastAsia" w:hAnsiTheme="minorEastAsia"/>
                <w:kern w:val="0"/>
                <w:sz w:val="20"/>
                <w:szCs w:val="20"/>
                <w:lang w:val="en-US" w:eastAsia="zh-CN" w:bidi="ar-SA"/>
              </w:rPr>
            </w:pPr>
          </w:p>
        </w:tc>
        <w:tc>
          <w:tcPr>
            <w:tcW w:w="8140" w:type="dxa"/>
            <w:vAlign w:val="center"/>
          </w:tcPr>
          <w:p w14:paraId="72ADA11A">
            <w:pPr>
              <w:jc w:val="left"/>
              <w:rPr>
                <w:rFonts w:hint="default" w:eastAsia="宋体" w:cs="Times New Roman" w:asciiTheme="minorEastAsia" w:hAnsiTheme="minorEastAsia"/>
                <w:kern w:val="0"/>
                <w:sz w:val="20"/>
                <w:szCs w:val="20"/>
                <w:lang w:val="en-US" w:eastAsia="zh-CN" w:bidi="ar-SA"/>
              </w:rPr>
            </w:pPr>
            <w:r>
              <w:rPr>
                <w:rFonts w:hint="eastAsia" w:eastAsia="宋体" w:cs="Times New Roman" w:asciiTheme="minorEastAsia" w:hAnsiTheme="minorEastAsia"/>
                <w:kern w:val="0"/>
                <w:sz w:val="20"/>
                <w:szCs w:val="20"/>
                <w:lang w:val="en-US" w:eastAsia="zh-CN" w:bidi="ar-SA"/>
              </w:rPr>
              <w:t>注：1、方案效果预估</w:t>
            </w:r>
          </w:p>
          <w:p w14:paraId="04190EB1">
            <w:pPr>
              <w:numPr>
                <w:ilvl w:val="0"/>
                <w:numId w:val="1"/>
              </w:numPr>
              <w:jc w:val="left"/>
              <w:rPr>
                <w:rFonts w:hint="eastAsia" w:eastAsia="宋体" w:cs="Times New Roman" w:asciiTheme="minorEastAsia" w:hAnsiTheme="minorEastAsia"/>
                <w:color w:val="000000" w:themeColor="text1"/>
                <w:kern w:val="0"/>
                <w:sz w:val="20"/>
                <w:szCs w:val="20"/>
                <w:lang w:val="en-US" w:eastAsia="zh-CN" w:bidi="ar-SA"/>
                <w14:textFill>
                  <w14:solidFill>
                    <w14:schemeClr w14:val="tx1"/>
                  </w14:solidFill>
                </w14:textFill>
              </w:rPr>
            </w:pPr>
            <w:r>
              <w:rPr>
                <w:rFonts w:hint="eastAsia" w:eastAsia="宋体" w:cs="Times New Roman" w:asciiTheme="minorEastAsia" w:hAnsiTheme="minorEastAsia"/>
                <w:color w:val="000000" w:themeColor="text1"/>
                <w:kern w:val="0"/>
                <w:sz w:val="20"/>
                <w:szCs w:val="20"/>
                <w:lang w:val="en-US" w:eastAsia="zh-CN" w:bidi="ar-SA"/>
                <w14:textFill>
                  <w14:solidFill>
                    <w14:schemeClr w14:val="tx1"/>
                  </w14:solidFill>
                </w14:textFill>
              </w:rPr>
              <w:t>方案效果预估板块</w:t>
            </w:r>
            <w:r>
              <w:rPr>
                <w:rFonts w:hint="eastAsia" w:eastAsia="宋体" w:cs="Times New Roman" w:asciiTheme="minorEastAsia" w:hAnsiTheme="minorEastAsia"/>
                <w:color w:val="000000" w:themeColor="text1"/>
                <w:kern w:val="0"/>
                <w:sz w:val="20"/>
                <w:szCs w:val="20"/>
                <w:u w:val="single"/>
                <w:lang w:val="en-US" w:eastAsia="zh-CN" w:bidi="ar-SA"/>
                <w14:textFill>
                  <w14:solidFill>
                    <w14:schemeClr w14:val="tx1"/>
                  </w14:solidFill>
                </w14:textFill>
              </w:rPr>
              <w:t>（小红书互动量、爆文率、</w:t>
            </w:r>
            <w:r>
              <w:rPr>
                <w:rFonts w:hint="eastAsia" w:asciiTheme="minorEastAsia" w:hAnsiTheme="minorEastAsia"/>
                <w:color w:val="000000" w:themeColor="text1"/>
                <w:sz w:val="18"/>
                <w:szCs w:val="18"/>
                <w:u w:val="single"/>
                <w:lang w:val="en-US" w:eastAsia="zh-CN"/>
                <w14:textFill>
                  <w14:solidFill>
                    <w14:schemeClr w14:val="tx1"/>
                  </w14:solidFill>
                </w14:textFill>
              </w:rPr>
              <w:t>进店UV、</w:t>
            </w:r>
            <w:r>
              <w:rPr>
                <w:rFonts w:hint="eastAsia" w:eastAsia="宋体" w:cs="Times New Roman" w:asciiTheme="minorEastAsia" w:hAnsiTheme="minorEastAsia"/>
                <w:color w:val="000000" w:themeColor="text1"/>
                <w:kern w:val="0"/>
                <w:sz w:val="20"/>
                <w:szCs w:val="20"/>
                <w:u w:val="single"/>
                <w:lang w:val="en-US" w:eastAsia="zh-CN" w:bidi="ar-SA"/>
                <w14:textFill>
                  <w14:solidFill>
                    <w14:schemeClr w14:val="tx1"/>
                  </w14:solidFill>
                </w14:textFill>
              </w:rPr>
              <w:t>C板块</w:t>
            </w:r>
            <w:r>
              <w:rPr>
                <w:rFonts w:hint="eastAsia" w:asciiTheme="minorEastAsia" w:hAnsiTheme="minorEastAsia"/>
                <w:color w:val="000000" w:themeColor="text1"/>
                <w:sz w:val="18"/>
                <w:szCs w:val="18"/>
                <w:u w:val="single"/>
                <w:lang w:val="en-US" w:eastAsia="zh-CN"/>
                <w14:textFill>
                  <w14:solidFill>
                    <w14:schemeClr w14:val="tx1"/>
                  </w14:solidFill>
                </w14:textFill>
              </w:rPr>
              <w:t>话题浏览量及</w:t>
            </w:r>
            <w:r>
              <w:rPr>
                <w:rFonts w:hint="eastAsia" w:asciiTheme="minorEastAsia" w:hAnsiTheme="minorEastAsia" w:eastAsiaTheme="minorEastAsia" w:cstheme="minorBidi"/>
                <w:color w:val="000000" w:themeColor="text1"/>
                <w:kern w:val="2"/>
                <w:sz w:val="18"/>
                <w:szCs w:val="18"/>
                <w:u w:val="single"/>
                <w:lang w:val="en-US" w:eastAsia="zh-CN" w:bidi="ar-SA"/>
                <w14:textFill>
                  <w14:solidFill>
                    <w14:schemeClr w14:val="tx1"/>
                  </w14:solidFill>
                </w14:textFill>
              </w:rPr>
              <w:t>新增</w:t>
            </w:r>
            <w:r>
              <w:rPr>
                <w:rFonts w:hint="eastAsia" w:asciiTheme="minorEastAsia" w:hAnsiTheme="minorEastAsia" w:cstheme="minorBidi"/>
                <w:color w:val="000000" w:themeColor="text1"/>
                <w:kern w:val="2"/>
                <w:sz w:val="18"/>
                <w:szCs w:val="18"/>
                <w:u w:val="single"/>
                <w:lang w:val="en-US" w:eastAsia="zh-CN" w:bidi="ar-SA"/>
                <w14:textFill>
                  <w14:solidFill>
                    <w14:schemeClr w14:val="tx1"/>
                  </w14:solidFill>
                </w14:textFill>
              </w:rPr>
              <w:t>UGC</w:t>
            </w:r>
            <w:r>
              <w:rPr>
                <w:rFonts w:hint="eastAsia" w:eastAsia="宋体" w:cs="Times New Roman" w:asciiTheme="minorEastAsia" w:hAnsiTheme="minorEastAsia"/>
                <w:color w:val="000000" w:themeColor="text1"/>
                <w:kern w:val="0"/>
                <w:sz w:val="20"/>
                <w:szCs w:val="20"/>
                <w:u w:val="single"/>
                <w:lang w:val="en-US" w:eastAsia="zh-CN" w:bidi="ar-SA"/>
                <w14:textFill>
                  <w14:solidFill>
                    <w14:schemeClr w14:val="tx1"/>
                  </w14:solidFill>
                </w14:textFill>
              </w:rPr>
              <w:t>）</w:t>
            </w:r>
            <w:r>
              <w:rPr>
                <w:rFonts w:hint="eastAsia" w:eastAsia="宋体" w:cs="Times New Roman" w:asciiTheme="minorEastAsia" w:hAnsiTheme="minorEastAsia"/>
                <w:color w:val="000000" w:themeColor="text1"/>
                <w:kern w:val="0"/>
                <w:sz w:val="20"/>
                <w:szCs w:val="20"/>
                <w:lang w:val="en-US" w:eastAsia="zh-CN" w:bidi="ar-SA"/>
                <w14:textFill>
                  <w14:solidFill>
                    <w14:schemeClr w14:val="tx1"/>
                  </w14:solidFill>
                </w14:textFill>
              </w:rPr>
              <w:t>各项分值计算方式为：所报数值最高的参选公司即得满分，其他参选公司得分按提供的数值占最高数值的比例进行相应分值的计算（四舍五入保留两位小数点)公式如下</w:t>
            </w:r>
            <w:r>
              <w:rPr>
                <w:rFonts w:hint="eastAsia" w:eastAsia="宋体" w:cs="Times New Roman" w:asciiTheme="minorEastAsia" w:hAnsiTheme="minorEastAsia"/>
                <w:color w:val="000000" w:themeColor="text1"/>
                <w:kern w:val="0"/>
                <w:sz w:val="20"/>
                <w:szCs w:val="20"/>
                <w:highlight w:val="none"/>
                <w:lang w:val="en-US" w:eastAsia="zh-CN" w:bidi="ar-SA"/>
                <w14:textFill>
                  <w14:solidFill>
                    <w14:schemeClr w14:val="tx1"/>
                  </w14:solidFill>
                </w14:textFill>
              </w:rPr>
              <w:t>：</w:t>
            </w:r>
          </w:p>
          <w:p w14:paraId="6110015B">
            <w:pPr>
              <w:numPr>
                <w:ilvl w:val="0"/>
                <w:numId w:val="0"/>
              </w:numPr>
              <w:jc w:val="left"/>
              <w:rPr>
                <w:rFonts w:hint="eastAsia" w:eastAsia="宋体" w:cs="Times New Roman" w:asciiTheme="minorEastAsia" w:hAnsiTheme="minorEastAsia"/>
                <w:color w:val="000000" w:themeColor="text1"/>
                <w:kern w:val="0"/>
                <w:sz w:val="20"/>
                <w:szCs w:val="20"/>
                <w:u w:val="single"/>
                <w:lang w:val="en-US" w:eastAsia="zh-CN" w:bidi="ar-SA"/>
                <w14:textFill>
                  <w14:solidFill>
                    <w14:schemeClr w14:val="tx1"/>
                  </w14:solidFill>
                </w14:textFill>
              </w:rPr>
            </w:pPr>
            <w:r>
              <w:rPr>
                <w:rFonts w:hint="eastAsia" w:eastAsia="宋体" w:cs="Times New Roman" w:asciiTheme="minorEastAsia" w:hAnsiTheme="minorEastAsia"/>
                <w:color w:val="000000" w:themeColor="text1"/>
                <w:kern w:val="0"/>
                <w:sz w:val="20"/>
                <w:szCs w:val="20"/>
                <w:u w:val="single"/>
                <w:lang w:val="en-US" w:eastAsia="zh-CN" w:bidi="ar-SA"/>
                <w14:textFill>
                  <w14:solidFill>
                    <w14:schemeClr w14:val="tx1"/>
                  </w14:solidFill>
                </w14:textFill>
              </w:rPr>
              <w:t>（参选公司得分按提供的数值÷参选公司中所报最高数值）×相应评分项分值=参选公司该项得分</w:t>
            </w:r>
          </w:p>
          <w:p w14:paraId="0530E728">
            <w:pPr>
              <w:numPr>
                <w:ilvl w:val="0"/>
                <w:numId w:val="0"/>
              </w:numPr>
              <w:jc w:val="left"/>
              <w:rPr>
                <w:rFonts w:hint="default"/>
                <w:color w:val="000000" w:themeColor="text1"/>
                <w:u w:val="single"/>
                <w:lang w:val="en-US" w:eastAsia="zh-CN"/>
                <w14:textFill>
                  <w14:solidFill>
                    <w14:schemeClr w14:val="tx1"/>
                  </w14:solidFill>
                </w14:textFill>
              </w:rPr>
            </w:pPr>
            <w:r>
              <w:rPr>
                <w:rFonts w:hint="eastAsia" w:ascii="Calibri" w:hAnsi="Calibri" w:eastAsia="宋体" w:cs="Calibri"/>
                <w:color w:val="000000" w:themeColor="text1"/>
                <w:kern w:val="0"/>
                <w:sz w:val="20"/>
                <w:szCs w:val="20"/>
                <w:u w:val="single"/>
                <w:lang w:val="en-US" w:eastAsia="zh-CN" w:bidi="ar-SA"/>
                <w14:textFill>
                  <w14:solidFill>
                    <w14:schemeClr w14:val="tx1"/>
                  </w14:solidFill>
                </w14:textFill>
              </w:rPr>
              <w:t>例：</w:t>
            </w:r>
            <w:r>
              <w:rPr>
                <w:rFonts w:hint="eastAsia" w:eastAsia="宋体" w:cs="Times New Roman" w:asciiTheme="minorEastAsia" w:hAnsiTheme="minorEastAsia"/>
                <w:color w:val="000000" w:themeColor="text1"/>
                <w:kern w:val="0"/>
                <w:sz w:val="20"/>
                <w:szCs w:val="20"/>
                <w:highlight w:val="none"/>
                <w:u w:val="single"/>
                <w:lang w:val="en-US" w:eastAsia="zh-CN" w:bidi="ar-SA"/>
                <w14:textFill>
                  <w14:solidFill>
                    <w14:schemeClr w14:val="tx1"/>
                  </w14:solidFill>
                </w14:textFill>
              </w:rPr>
              <w:t>A</w:t>
            </w:r>
            <w:r>
              <w:rPr>
                <w:rFonts w:hint="eastAsia" w:eastAsia="宋体" w:cs="Times New Roman" w:asciiTheme="minorEastAsia" w:hAnsiTheme="minorEastAsia"/>
                <w:color w:val="000000" w:themeColor="text1"/>
                <w:kern w:val="0"/>
                <w:sz w:val="20"/>
                <w:szCs w:val="20"/>
                <w:u w:val="single"/>
                <w:lang w:val="en-US" w:eastAsia="zh-CN" w:bidi="ar-SA"/>
                <w14:textFill>
                  <w14:solidFill>
                    <w14:schemeClr w14:val="tx1"/>
                  </w14:solidFill>
                </w14:textFill>
              </w:rPr>
              <w:t>公司所报小红书互动量10万，参选公司中最高互动量为20万，A公司互动量得分计算均如下：（10÷20）×2=1.00；其他评分项以此类推。</w:t>
            </w:r>
          </w:p>
          <w:p w14:paraId="59A98762">
            <w:pPr>
              <w:numPr>
                <w:ilvl w:val="0"/>
                <w:numId w:val="2"/>
              </w:numPr>
              <w:jc w:val="left"/>
              <w:rPr>
                <w:rFonts w:hint="default" w:asciiTheme="minorEastAsia" w:hAnsiTheme="minorEastAsia" w:cstheme="minorBidi"/>
                <w:color w:val="000000" w:themeColor="text1"/>
                <w:kern w:val="2"/>
                <w:sz w:val="18"/>
                <w:szCs w:val="18"/>
                <w:u w:val="none"/>
                <w:lang w:val="en-US" w:eastAsia="zh-CN" w:bidi="ar-SA"/>
                <w14:textFill>
                  <w14:solidFill>
                    <w14:schemeClr w14:val="tx1"/>
                  </w14:solidFill>
                </w14:textFill>
              </w:rPr>
            </w:pPr>
            <w:r>
              <w:rPr>
                <w:rFonts w:hint="eastAsia" w:ascii="Calibri" w:hAnsi="Calibri" w:eastAsia="宋体" w:cs="Calibri"/>
                <w:color w:val="000000" w:themeColor="text1"/>
                <w:kern w:val="0"/>
                <w:sz w:val="20"/>
                <w:szCs w:val="20"/>
                <w:lang w:val="en-US" w:eastAsia="zh-CN" w:bidi="ar-SA"/>
                <w14:textFill>
                  <w14:solidFill>
                    <w14:schemeClr w14:val="tx1"/>
                  </w14:solidFill>
                </w14:textFill>
              </w:rPr>
              <w:t>方案预估效果板块的</w:t>
            </w:r>
            <w:r>
              <w:rPr>
                <w:rFonts w:hint="eastAsia" w:asciiTheme="minorEastAsia" w:hAnsiTheme="minorEastAsia"/>
                <w:color w:val="000000" w:themeColor="text1"/>
                <w:sz w:val="18"/>
                <w:szCs w:val="18"/>
                <w:u w:val="single"/>
                <w:lang w:val="en-US" w:eastAsia="zh-CN"/>
                <w14:textFill>
                  <w14:solidFill>
                    <w14:schemeClr w14:val="tx1"/>
                  </w14:solidFill>
                </w14:textFill>
              </w:rPr>
              <w:t>种草投流CPE</w:t>
            </w:r>
            <w:r>
              <w:rPr>
                <w:rFonts w:hint="eastAsia"/>
                <w:color w:val="000000" w:themeColor="text1"/>
                <w:sz w:val="18"/>
                <w:szCs w:val="18"/>
                <w:u w:val="single"/>
                <w:lang w:val="en-US" w:eastAsia="zh-CN"/>
                <w14:textFill>
                  <w14:solidFill>
                    <w14:schemeClr w14:val="tx1"/>
                  </w14:solidFill>
                </w14:textFill>
              </w:rPr>
              <w:t>成本</w:t>
            </w:r>
            <w:r>
              <w:rPr>
                <w:rFonts w:hint="eastAsia" w:eastAsia="宋体" w:cs="Times New Roman" w:asciiTheme="minorEastAsia" w:hAnsiTheme="minorEastAsia"/>
                <w:color w:val="000000" w:themeColor="text1"/>
                <w:kern w:val="0"/>
                <w:sz w:val="20"/>
                <w:szCs w:val="20"/>
                <w:u w:val="single"/>
                <w:lang w:val="en-US" w:eastAsia="zh-CN" w:bidi="ar-SA"/>
                <w14:textFill>
                  <w14:solidFill>
                    <w14:schemeClr w14:val="tx1"/>
                  </w14:solidFill>
                </w14:textFill>
              </w:rPr>
              <w:t>（数值成本在20以内）</w:t>
            </w:r>
            <w:r>
              <w:rPr>
                <w:rFonts w:hint="eastAsia" w:eastAsia="宋体" w:cs="Times New Roman" w:asciiTheme="minorEastAsia" w:hAnsiTheme="minorEastAsia"/>
                <w:color w:val="000000" w:themeColor="text1"/>
                <w:kern w:val="0"/>
                <w:sz w:val="20"/>
                <w:szCs w:val="20"/>
                <w:lang w:val="en-US" w:eastAsia="zh-CN" w:bidi="ar-SA"/>
                <w14:textFill>
                  <w14:solidFill>
                    <w14:schemeClr w14:val="tx1"/>
                  </w14:solidFill>
                </w14:textFill>
              </w:rPr>
              <w:t>的计算方式为：所报数值最低的参选公司为评审基准数值（即得满分），其他参选公司该项目得分公式计算为:(评审基准数值/参与比选方参选所报数值)X2，【如A参选公司</w:t>
            </w:r>
            <w:r>
              <w:rPr>
                <w:rFonts w:hint="eastAsia" w:asciiTheme="minorEastAsia" w:hAnsiTheme="minorEastAsia"/>
                <w:color w:val="000000" w:themeColor="text1"/>
                <w:sz w:val="18"/>
                <w:szCs w:val="18"/>
                <w:u w:val="single"/>
                <w:lang w:val="en-US" w:eastAsia="zh-CN"/>
                <w14:textFill>
                  <w14:solidFill>
                    <w14:schemeClr w14:val="tx1"/>
                  </w14:solidFill>
                </w14:textFill>
              </w:rPr>
              <w:t>种草投流CPE</w:t>
            </w:r>
            <w:r>
              <w:rPr>
                <w:rFonts w:hint="eastAsia"/>
                <w:color w:val="000000" w:themeColor="text1"/>
                <w:sz w:val="18"/>
                <w:szCs w:val="18"/>
                <w:u w:val="single"/>
                <w:lang w:val="en-US" w:eastAsia="zh-CN"/>
                <w14:textFill>
                  <w14:solidFill>
                    <w14:schemeClr w14:val="tx1"/>
                  </w14:solidFill>
                </w14:textFill>
              </w:rPr>
              <w:t>成本</w:t>
            </w:r>
            <w:r>
              <w:rPr>
                <w:rFonts w:hint="eastAsia" w:eastAsia="宋体" w:cs="Times New Roman" w:asciiTheme="minorEastAsia" w:hAnsiTheme="minorEastAsia"/>
                <w:color w:val="000000" w:themeColor="text1"/>
                <w:kern w:val="0"/>
                <w:sz w:val="20"/>
                <w:szCs w:val="20"/>
                <w:lang w:val="en-US" w:eastAsia="zh-CN" w:bidi="ar-SA"/>
                <w14:textFill>
                  <w14:solidFill>
                    <w14:schemeClr w14:val="tx1"/>
                  </w14:solidFill>
                </w14:textFill>
              </w:rPr>
              <w:t>所报数值为15，评审基准数值为10，A参选公司</w:t>
            </w:r>
            <w:r>
              <w:rPr>
                <w:rFonts w:hint="eastAsia" w:asciiTheme="minorEastAsia" w:hAnsiTheme="minorEastAsia"/>
                <w:color w:val="000000" w:themeColor="text1"/>
                <w:sz w:val="18"/>
                <w:szCs w:val="18"/>
                <w:u w:val="single"/>
                <w:lang w:val="en-US" w:eastAsia="zh-CN"/>
                <w14:textFill>
                  <w14:solidFill>
                    <w14:schemeClr w14:val="tx1"/>
                  </w14:solidFill>
                </w14:textFill>
              </w:rPr>
              <w:t>种草投流CPE</w:t>
            </w:r>
            <w:r>
              <w:rPr>
                <w:rFonts w:hint="eastAsia"/>
                <w:color w:val="000000" w:themeColor="text1"/>
                <w:sz w:val="18"/>
                <w:szCs w:val="18"/>
                <w:u w:val="single"/>
                <w:lang w:val="en-US" w:eastAsia="zh-CN"/>
                <w14:textFill>
                  <w14:solidFill>
                    <w14:schemeClr w14:val="tx1"/>
                  </w14:solidFill>
                </w14:textFill>
              </w:rPr>
              <w:t>成本</w:t>
            </w:r>
            <w:r>
              <w:rPr>
                <w:rFonts w:hint="eastAsia" w:eastAsia="宋体" w:cs="Times New Roman" w:asciiTheme="minorEastAsia" w:hAnsiTheme="minorEastAsia"/>
                <w:color w:val="000000" w:themeColor="text1"/>
                <w:kern w:val="0"/>
                <w:sz w:val="20"/>
                <w:szCs w:val="20"/>
                <w:lang w:val="en-US" w:eastAsia="zh-CN" w:bidi="ar-SA"/>
                <w14:textFill>
                  <w14:solidFill>
                    <w14:schemeClr w14:val="tx1"/>
                  </w14:solidFill>
                </w14:textFill>
              </w:rPr>
              <w:t>得分计算如下：（10÷15）×2≈1.33】；</w:t>
            </w:r>
          </w:p>
          <w:p w14:paraId="4E9751B2">
            <w:pPr>
              <w:numPr>
                <w:ilvl w:val="0"/>
                <w:numId w:val="3"/>
              </w:numPr>
              <w:ind w:left="0" w:leftChars="0" w:firstLine="0" w:firstLineChars="0"/>
              <w:jc w:val="left"/>
              <w:rPr>
                <w:rFonts w:hint="default" w:eastAsia="宋体" w:cs="Times New Roman" w:asciiTheme="minorEastAsia" w:hAnsiTheme="minorEastAsia"/>
                <w:kern w:val="0"/>
                <w:sz w:val="20"/>
                <w:szCs w:val="20"/>
                <w:lang w:val="en-US" w:eastAsia="zh-CN" w:bidi="ar-SA"/>
              </w:rPr>
            </w:pPr>
            <w:r>
              <w:rPr>
                <w:rFonts w:hint="eastAsia" w:eastAsia="宋体" w:cs="Times New Roman" w:asciiTheme="minorEastAsia" w:hAnsiTheme="minorEastAsia"/>
                <w:kern w:val="0"/>
                <w:sz w:val="20"/>
                <w:szCs w:val="20"/>
                <w:lang w:val="en-US" w:eastAsia="zh-CN" w:bidi="ar-SA"/>
              </w:rPr>
              <w:t>该方案效果预估</w:t>
            </w:r>
            <w:r>
              <w:rPr>
                <w:rFonts w:hint="eastAsia" w:eastAsia="宋体" w:cs="Times New Roman" w:asciiTheme="minorEastAsia" w:hAnsiTheme="minorEastAsia"/>
                <w:kern w:val="0"/>
                <w:sz w:val="20"/>
                <w:szCs w:val="20"/>
                <w:u w:val="single"/>
                <w:lang w:val="en-US" w:eastAsia="zh-CN" w:bidi="ar-SA"/>
              </w:rPr>
              <w:t>（含预期达到的最低阅读数、曝光量）</w:t>
            </w:r>
            <w:r>
              <w:rPr>
                <w:rFonts w:hint="eastAsia" w:eastAsia="宋体" w:cs="Times New Roman" w:asciiTheme="minorEastAsia" w:hAnsiTheme="minorEastAsia"/>
                <w:kern w:val="0"/>
                <w:sz w:val="20"/>
                <w:szCs w:val="20"/>
                <w:lang w:val="en-US" w:eastAsia="zh-CN" w:bidi="ar-SA"/>
              </w:rPr>
              <w:t>将写入合同，如未达到，将按未达标比例进行合同总费用的扣款，例：完成80%，未达标20%，即扣除合同总费用20%作为赔偿金，未达标比例在5%以内，按5%进行扣除，如出现曝光量、互动量等指标都没达标情况，按指标中较高未达标的比例进行合同总费用的扣除。以上都将同步扣除履约保证金。</w:t>
            </w:r>
          </w:p>
          <w:p w14:paraId="11679956">
            <w:pPr>
              <w:pStyle w:val="2"/>
              <w:rPr>
                <w:rFonts w:hint="default" w:eastAsia="宋体" w:cs="Times New Roman" w:asciiTheme="minorEastAsia" w:hAnsiTheme="minorEastAsia"/>
                <w:kern w:val="0"/>
                <w:sz w:val="20"/>
                <w:szCs w:val="20"/>
                <w:lang w:val="en-US" w:eastAsia="zh-CN" w:bidi="ar-SA"/>
              </w:rPr>
            </w:pPr>
            <w:r>
              <w:rPr>
                <w:rFonts w:hint="eastAsia" w:asciiTheme="minorEastAsia" w:hAnsiTheme="minorEastAsia"/>
                <w:color w:val="FF0000"/>
                <w:szCs w:val="21"/>
                <w:highlight w:val="yellow"/>
                <w:lang w:val="en-US" w:eastAsia="zh-CN"/>
              </w:rPr>
              <w:t>3、参选公司填写的预估量基于AB板块投放达到</w:t>
            </w:r>
            <w:r>
              <w:rPr>
                <w:rFonts w:hint="eastAsia" w:asciiTheme="minorEastAsia" w:hAnsiTheme="minorEastAsia"/>
                <w:color w:val="FF0000"/>
                <w:kern w:val="0"/>
                <w:highlight w:val="yellow"/>
                <w:lang w:val="en-US" w:eastAsia="zh-CN"/>
              </w:rPr>
              <w:t>预算总额270万元</w:t>
            </w:r>
            <w:r>
              <w:rPr>
                <w:rFonts w:hint="eastAsia" w:asciiTheme="minorEastAsia" w:hAnsiTheme="minorEastAsia"/>
                <w:color w:val="FF0000"/>
                <w:szCs w:val="21"/>
                <w:highlight w:val="yellow"/>
                <w:lang w:val="en-US" w:eastAsia="zh-CN"/>
              </w:rPr>
              <w:t>（含税，种草</w:t>
            </w:r>
            <w:r>
              <w:rPr>
                <w:rFonts w:hint="eastAsia" w:asciiTheme="minorEastAsia" w:hAnsiTheme="minorEastAsia"/>
                <w:color w:val="FF0000"/>
                <w:kern w:val="0"/>
                <w:highlight w:val="yellow"/>
                <w:lang w:val="en-US" w:eastAsia="zh-CN"/>
              </w:rPr>
              <w:t>150</w:t>
            </w:r>
            <w:r>
              <w:rPr>
                <w:rFonts w:hint="eastAsia" w:asciiTheme="minorEastAsia" w:hAnsiTheme="minorEastAsia"/>
                <w:color w:val="FF0000"/>
                <w:szCs w:val="21"/>
                <w:highlight w:val="yellow"/>
                <w:lang w:val="en-US" w:eastAsia="zh-CN"/>
              </w:rPr>
              <w:t>万元、投流费用120万元）。</w:t>
            </w:r>
            <w:r>
              <w:rPr>
                <w:rFonts w:hint="eastAsia" w:asciiTheme="minorEastAsia" w:hAnsiTheme="minorEastAsia"/>
                <w:color w:val="FF0000"/>
                <w:kern w:val="0"/>
                <w:highlight w:val="yellow"/>
                <w:lang w:val="en-US" w:eastAsia="zh-CN"/>
              </w:rPr>
              <w:t>若实际下单总费用未达到预算总额</w:t>
            </w:r>
            <w:r>
              <w:rPr>
                <w:rFonts w:hint="eastAsia" w:asciiTheme="minorEastAsia" w:hAnsiTheme="minorEastAsia"/>
                <w:color w:val="FF0000"/>
                <w:szCs w:val="21"/>
                <w:highlight w:val="yellow"/>
                <w:lang w:val="en-US" w:eastAsia="zh-CN"/>
              </w:rPr>
              <w:t>万元270（含税），则</w:t>
            </w:r>
            <w:r>
              <w:rPr>
                <w:rFonts w:hint="eastAsia" w:asciiTheme="minorEastAsia" w:hAnsiTheme="minorEastAsia"/>
                <w:color w:val="FF0000"/>
                <w:kern w:val="0"/>
                <w:highlight w:val="yellow"/>
                <w:lang w:val="en-US" w:eastAsia="zh-CN"/>
              </w:rPr>
              <w:t>可根据实际总费用与预算总费用的比例进行等比例计算考核</w:t>
            </w:r>
            <w:r>
              <w:rPr>
                <w:rFonts w:hint="eastAsia" w:asciiTheme="minorEastAsia" w:hAnsiTheme="minorEastAsia"/>
                <w:color w:val="FF0000"/>
                <w:kern w:val="0"/>
                <w:highlight w:val="yellow"/>
                <w:lang w:eastAsia="zh-CN"/>
              </w:rPr>
              <w:t>。</w:t>
            </w:r>
            <w:r>
              <w:rPr>
                <w:rFonts w:hint="eastAsia" w:asciiTheme="minorEastAsia" w:hAnsiTheme="minorEastAsia"/>
                <w:color w:val="FF0000"/>
                <w:kern w:val="0"/>
                <w:highlight w:val="yellow"/>
                <w:lang w:val="en-US" w:eastAsia="zh-CN"/>
              </w:rPr>
              <w:t>例：</w:t>
            </w:r>
            <w:r>
              <w:rPr>
                <w:rFonts w:asciiTheme="minorEastAsia" w:hAnsiTheme="minorEastAsia"/>
                <w:color w:val="FF0000"/>
                <w:highlight w:val="yellow"/>
              </w:rPr>
              <w:t>预估</w:t>
            </w:r>
            <w:r>
              <w:rPr>
                <w:rFonts w:hint="eastAsia" w:asciiTheme="minorEastAsia" w:hAnsiTheme="minorEastAsia"/>
                <w:color w:val="FF0000"/>
                <w:kern w:val="0"/>
                <w:highlight w:val="yellow"/>
              </w:rPr>
              <w:t>承诺</w:t>
            </w:r>
            <w:r>
              <w:rPr>
                <w:rFonts w:hint="eastAsia" w:asciiTheme="minorEastAsia" w:hAnsiTheme="minorEastAsia"/>
                <w:color w:val="FF0000"/>
                <w:kern w:val="0"/>
                <w:highlight w:val="yellow"/>
                <w:lang w:val="en-US" w:eastAsia="zh-CN"/>
              </w:rPr>
              <w:t>互动量100万，实际投</w:t>
            </w:r>
            <w:bookmarkStart w:id="0" w:name="_GoBack"/>
            <w:bookmarkEnd w:id="0"/>
            <w:r>
              <w:rPr>
                <w:rFonts w:hint="eastAsia" w:asciiTheme="minorEastAsia" w:hAnsiTheme="minorEastAsia"/>
                <w:color w:val="FF0000"/>
                <w:kern w:val="0"/>
                <w:highlight w:val="yellow"/>
                <w:lang w:val="en-US" w:eastAsia="zh-CN"/>
              </w:rPr>
              <w:t>放费用200万元（含税），则结案验收时合格互动量为74.07万及以上。</w:t>
            </w:r>
          </w:p>
        </w:tc>
        <w:tc>
          <w:tcPr>
            <w:tcW w:w="658" w:type="dxa"/>
            <w:vAlign w:val="center"/>
          </w:tcPr>
          <w:p w14:paraId="0CE7ABAA">
            <w:pPr>
              <w:jc w:val="center"/>
              <w:rPr>
                <w:rFonts w:asciiTheme="minorEastAsia" w:hAnsiTheme="minorEastAsia"/>
                <w:color w:val="000000" w:themeColor="text1"/>
                <w:sz w:val="20"/>
                <w:szCs w:val="20"/>
                <w14:textFill>
                  <w14:solidFill>
                    <w14:schemeClr w14:val="tx1"/>
                  </w14:solidFill>
                </w14:textFill>
              </w:rPr>
            </w:pPr>
            <w:r>
              <w:rPr>
                <w:rFonts w:asciiTheme="minorEastAsia" w:hAnsiTheme="minorEastAsia"/>
                <w:color w:val="000000" w:themeColor="text1"/>
                <w:sz w:val="20"/>
                <w:szCs w:val="20"/>
                <w14:textFill>
                  <w14:solidFill>
                    <w14:schemeClr w14:val="tx1"/>
                  </w14:solidFill>
                </w14:textFill>
              </w:rPr>
              <w:t>/</w:t>
            </w:r>
          </w:p>
        </w:tc>
        <w:tc>
          <w:tcPr>
            <w:tcW w:w="561" w:type="dxa"/>
            <w:vAlign w:val="center"/>
          </w:tcPr>
          <w:p w14:paraId="42E3301E">
            <w:pPr>
              <w:jc w:val="center"/>
              <w:rPr>
                <w:rFonts w:asciiTheme="minorEastAsia" w:hAnsiTheme="minorEastAsia"/>
                <w:sz w:val="20"/>
                <w:szCs w:val="20"/>
                <w:highlight w:val="yellow"/>
              </w:rPr>
            </w:pPr>
          </w:p>
        </w:tc>
      </w:tr>
      <w:tr w14:paraId="6F5AE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198" w:type="dxa"/>
            <w:gridSpan w:val="2"/>
            <w:vAlign w:val="center"/>
          </w:tcPr>
          <w:p w14:paraId="42984309">
            <w:pPr>
              <w:jc w:val="center"/>
              <w:rPr>
                <w:rFonts w:asciiTheme="minorEastAsia" w:hAnsiTheme="minorEastAsia"/>
                <w:sz w:val="20"/>
                <w:szCs w:val="20"/>
              </w:rPr>
            </w:pPr>
            <w:r>
              <w:rPr>
                <w:rFonts w:hint="eastAsia" w:asciiTheme="minorEastAsia" w:hAnsiTheme="minorEastAsia"/>
                <w:sz w:val="20"/>
                <w:szCs w:val="20"/>
              </w:rPr>
              <w:t>总得分合计</w:t>
            </w:r>
          </w:p>
        </w:tc>
        <w:tc>
          <w:tcPr>
            <w:tcW w:w="658" w:type="dxa"/>
            <w:vAlign w:val="center"/>
          </w:tcPr>
          <w:p w14:paraId="1557F42D">
            <w:pPr>
              <w:jc w:val="center"/>
              <w:rPr>
                <w:rFonts w:asciiTheme="minorEastAsia" w:hAnsiTheme="minorEastAsia"/>
                <w:sz w:val="20"/>
                <w:szCs w:val="20"/>
              </w:rPr>
            </w:pPr>
            <w:r>
              <w:rPr>
                <w:rFonts w:hint="eastAsia" w:asciiTheme="minorEastAsia" w:hAnsiTheme="minorEastAsia"/>
                <w:sz w:val="20"/>
                <w:szCs w:val="20"/>
              </w:rPr>
              <w:t>100分</w:t>
            </w:r>
          </w:p>
        </w:tc>
        <w:tc>
          <w:tcPr>
            <w:tcW w:w="561" w:type="dxa"/>
            <w:vAlign w:val="center"/>
          </w:tcPr>
          <w:p w14:paraId="565C02CA">
            <w:pPr>
              <w:jc w:val="center"/>
              <w:rPr>
                <w:rFonts w:asciiTheme="minorEastAsia" w:hAnsiTheme="minorEastAsia"/>
                <w:sz w:val="20"/>
                <w:szCs w:val="20"/>
              </w:rPr>
            </w:pPr>
          </w:p>
        </w:tc>
      </w:tr>
      <w:tr w14:paraId="5FE7C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10417" w:type="dxa"/>
            <w:gridSpan w:val="4"/>
            <w:vAlign w:val="center"/>
          </w:tcPr>
          <w:p w14:paraId="35A93307">
            <w:pPr>
              <w:tabs>
                <w:tab w:val="left" w:pos="4428"/>
              </w:tabs>
              <w:jc w:val="both"/>
              <w:rPr>
                <w:rFonts w:hint="eastAsia" w:asciiTheme="minorEastAsia" w:hAnsiTheme="minorEastAsia"/>
                <w:sz w:val="20"/>
                <w:szCs w:val="20"/>
                <w:lang w:eastAsia="zh-CN"/>
              </w:rPr>
            </w:pPr>
            <w:r>
              <w:rPr>
                <w:rFonts w:hint="eastAsia" w:asciiTheme="minorEastAsia" w:hAnsiTheme="minorEastAsia"/>
                <w:sz w:val="20"/>
                <w:szCs w:val="20"/>
                <w:lang w:eastAsia="zh-CN"/>
              </w:rPr>
              <w:t>评分说明：</w:t>
            </w:r>
          </w:p>
          <w:p w14:paraId="2805D8C0">
            <w:pPr>
              <w:tabs>
                <w:tab w:val="left" w:pos="4428"/>
              </w:tabs>
              <w:jc w:val="left"/>
              <w:rPr>
                <w:rFonts w:hint="eastAsia" w:asciiTheme="minorEastAsia" w:hAnsiTheme="minorEastAsia"/>
                <w:sz w:val="20"/>
                <w:szCs w:val="20"/>
                <w:lang w:eastAsia="zh-CN"/>
              </w:rPr>
            </w:pPr>
            <w:r>
              <w:rPr>
                <w:rFonts w:hint="eastAsia" w:asciiTheme="minorEastAsia" w:hAnsiTheme="minorEastAsia"/>
                <w:sz w:val="20"/>
                <w:szCs w:val="20"/>
                <w:lang w:eastAsia="zh-CN"/>
              </w:rPr>
              <w:t>本次评分将采用综合得分评审（评审人员评分平均值），总得分最高方为第一候选中选方，比选方与参选方再进行</w:t>
            </w:r>
            <w:r>
              <w:rPr>
                <w:rFonts w:hint="eastAsia" w:asciiTheme="minorEastAsia" w:hAnsiTheme="minorEastAsia"/>
                <w:sz w:val="20"/>
                <w:szCs w:val="20"/>
                <w:lang w:val="en-US" w:eastAsia="zh-CN"/>
              </w:rPr>
              <w:t>资源</w:t>
            </w:r>
            <w:r>
              <w:rPr>
                <w:rFonts w:hint="eastAsia" w:asciiTheme="minorEastAsia" w:hAnsiTheme="minorEastAsia"/>
                <w:sz w:val="20"/>
                <w:szCs w:val="20"/>
                <w:lang w:eastAsia="zh-CN"/>
              </w:rPr>
              <w:t>、服务细节等的洽谈并最终以合同签订为准。</w:t>
            </w:r>
          </w:p>
          <w:p w14:paraId="201EE5BC">
            <w:pPr>
              <w:tabs>
                <w:tab w:val="left" w:pos="4428"/>
              </w:tabs>
              <w:jc w:val="left"/>
              <w:rPr>
                <w:rFonts w:hint="eastAsia" w:asciiTheme="minorEastAsia" w:hAnsiTheme="minorEastAsia" w:eastAsiaTheme="minorEastAsia"/>
                <w:sz w:val="20"/>
                <w:szCs w:val="20"/>
                <w:lang w:eastAsia="zh-CN"/>
              </w:rPr>
            </w:pPr>
            <w:r>
              <w:rPr>
                <w:rFonts w:hint="eastAsia" w:asciiTheme="minorEastAsia" w:hAnsiTheme="minorEastAsia"/>
                <w:sz w:val="20"/>
                <w:szCs w:val="20"/>
                <w:lang w:eastAsia="zh-CN"/>
              </w:rPr>
              <w:t>评审人（签字）：</w:t>
            </w:r>
          </w:p>
        </w:tc>
      </w:tr>
    </w:tbl>
    <w:p w14:paraId="060CEA86">
      <w:pPr>
        <w:pStyle w:val="2"/>
        <w:rPr>
          <w:rFonts w:hint="eastAsia"/>
          <w:b/>
          <w:sz w:val="24"/>
          <w:szCs w:val="24"/>
          <w:lang w:val="en-US" w:eastAsia="zh-CN"/>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62BFBB"/>
    <w:multiLevelType w:val="singleLevel"/>
    <w:tmpl w:val="A162BFBB"/>
    <w:lvl w:ilvl="0" w:tentative="0">
      <w:start w:val="1"/>
      <w:numFmt w:val="decimal"/>
      <w:lvlText w:val="(%1)"/>
      <w:lvlJc w:val="left"/>
      <w:pPr>
        <w:tabs>
          <w:tab w:val="left" w:pos="312"/>
        </w:tabs>
      </w:pPr>
    </w:lvl>
  </w:abstractNum>
  <w:abstractNum w:abstractNumId="1">
    <w:nsid w:val="C13406A0"/>
    <w:multiLevelType w:val="singleLevel"/>
    <w:tmpl w:val="C13406A0"/>
    <w:lvl w:ilvl="0" w:tentative="0">
      <w:start w:val="2"/>
      <w:numFmt w:val="decimal"/>
      <w:suff w:val="nothing"/>
      <w:lvlText w:val="%1、"/>
      <w:lvlJc w:val="left"/>
    </w:lvl>
  </w:abstractNum>
  <w:abstractNum w:abstractNumId="2">
    <w:nsid w:val="7B26F805"/>
    <w:multiLevelType w:val="singleLevel"/>
    <w:tmpl w:val="7B26F805"/>
    <w:lvl w:ilvl="0" w:tentative="0">
      <w:start w:val="2"/>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137"/>
    <w:rsid w:val="004E54DF"/>
    <w:rsid w:val="006E15AC"/>
    <w:rsid w:val="00A31137"/>
    <w:rsid w:val="03B60BF9"/>
    <w:rsid w:val="0438688C"/>
    <w:rsid w:val="062260D2"/>
    <w:rsid w:val="06C258D3"/>
    <w:rsid w:val="077E0DBA"/>
    <w:rsid w:val="08A059D4"/>
    <w:rsid w:val="0A054A0C"/>
    <w:rsid w:val="0A7D6C81"/>
    <w:rsid w:val="0ABD461B"/>
    <w:rsid w:val="0C26664C"/>
    <w:rsid w:val="0CD5608D"/>
    <w:rsid w:val="0E0B7D94"/>
    <w:rsid w:val="0E3434D2"/>
    <w:rsid w:val="11A77DD3"/>
    <w:rsid w:val="12044707"/>
    <w:rsid w:val="1206210D"/>
    <w:rsid w:val="125331E6"/>
    <w:rsid w:val="12E61919"/>
    <w:rsid w:val="14D40792"/>
    <w:rsid w:val="14FC21E4"/>
    <w:rsid w:val="18530666"/>
    <w:rsid w:val="18A55F91"/>
    <w:rsid w:val="19E567DE"/>
    <w:rsid w:val="19E95D56"/>
    <w:rsid w:val="1BD13045"/>
    <w:rsid w:val="1BDE43F2"/>
    <w:rsid w:val="1CF35E7A"/>
    <w:rsid w:val="1D875D00"/>
    <w:rsid w:val="1E0F79DA"/>
    <w:rsid w:val="1E835C47"/>
    <w:rsid w:val="1FF40F81"/>
    <w:rsid w:val="2037780B"/>
    <w:rsid w:val="2099495A"/>
    <w:rsid w:val="226C09A9"/>
    <w:rsid w:val="24FC561E"/>
    <w:rsid w:val="250C1FD0"/>
    <w:rsid w:val="251D41DD"/>
    <w:rsid w:val="26782792"/>
    <w:rsid w:val="26B07F92"/>
    <w:rsid w:val="27D03788"/>
    <w:rsid w:val="27D113B0"/>
    <w:rsid w:val="283C025B"/>
    <w:rsid w:val="291B5393"/>
    <w:rsid w:val="292F44DF"/>
    <w:rsid w:val="295303DA"/>
    <w:rsid w:val="2A8B08D3"/>
    <w:rsid w:val="2B535ED5"/>
    <w:rsid w:val="2B727927"/>
    <w:rsid w:val="2CB0749F"/>
    <w:rsid w:val="2D2F1909"/>
    <w:rsid w:val="2D452523"/>
    <w:rsid w:val="2E167015"/>
    <w:rsid w:val="2E922BFD"/>
    <w:rsid w:val="2EB71B40"/>
    <w:rsid w:val="324E7BDE"/>
    <w:rsid w:val="341F7537"/>
    <w:rsid w:val="35270760"/>
    <w:rsid w:val="3681125F"/>
    <w:rsid w:val="379708C6"/>
    <w:rsid w:val="37BA3B0D"/>
    <w:rsid w:val="38C4270F"/>
    <w:rsid w:val="3A2E3173"/>
    <w:rsid w:val="3AA75652"/>
    <w:rsid w:val="3AF11132"/>
    <w:rsid w:val="3E012B9E"/>
    <w:rsid w:val="3E717806"/>
    <w:rsid w:val="3F5D39BA"/>
    <w:rsid w:val="40D06276"/>
    <w:rsid w:val="434F3CF0"/>
    <w:rsid w:val="43524CD6"/>
    <w:rsid w:val="43C7677F"/>
    <w:rsid w:val="45736556"/>
    <w:rsid w:val="45A913C4"/>
    <w:rsid w:val="45E306D3"/>
    <w:rsid w:val="46C41B84"/>
    <w:rsid w:val="49120A59"/>
    <w:rsid w:val="4A6D1B02"/>
    <w:rsid w:val="4A845B7B"/>
    <w:rsid w:val="4BDC7678"/>
    <w:rsid w:val="4CE372CB"/>
    <w:rsid w:val="4F6F6DF3"/>
    <w:rsid w:val="50206750"/>
    <w:rsid w:val="526342C4"/>
    <w:rsid w:val="53CB1051"/>
    <w:rsid w:val="547262DB"/>
    <w:rsid w:val="54992FD0"/>
    <w:rsid w:val="54C826E9"/>
    <w:rsid w:val="559346CF"/>
    <w:rsid w:val="56821842"/>
    <w:rsid w:val="570F2EE9"/>
    <w:rsid w:val="57100319"/>
    <w:rsid w:val="59D8290C"/>
    <w:rsid w:val="5AC010C4"/>
    <w:rsid w:val="5B490C9B"/>
    <w:rsid w:val="5DD46C23"/>
    <w:rsid w:val="5E1B424F"/>
    <w:rsid w:val="5E95785F"/>
    <w:rsid w:val="5FF27B44"/>
    <w:rsid w:val="60405039"/>
    <w:rsid w:val="606A7E85"/>
    <w:rsid w:val="61AE6147"/>
    <w:rsid w:val="620B403E"/>
    <w:rsid w:val="620D18BF"/>
    <w:rsid w:val="62184A02"/>
    <w:rsid w:val="6268647C"/>
    <w:rsid w:val="6295153D"/>
    <w:rsid w:val="63554626"/>
    <w:rsid w:val="63940E24"/>
    <w:rsid w:val="64E869C6"/>
    <w:rsid w:val="6639188A"/>
    <w:rsid w:val="668850EC"/>
    <w:rsid w:val="6696492E"/>
    <w:rsid w:val="680B68C3"/>
    <w:rsid w:val="68EF4B26"/>
    <w:rsid w:val="6BBD5340"/>
    <w:rsid w:val="6C975BF0"/>
    <w:rsid w:val="6CDA6F84"/>
    <w:rsid w:val="6CE362DE"/>
    <w:rsid w:val="6DBB3A8B"/>
    <w:rsid w:val="6F4F4AAA"/>
    <w:rsid w:val="707B47D7"/>
    <w:rsid w:val="7338355D"/>
    <w:rsid w:val="73E15FC2"/>
    <w:rsid w:val="74884C68"/>
    <w:rsid w:val="78484242"/>
    <w:rsid w:val="78A94B08"/>
    <w:rsid w:val="790A1859"/>
    <w:rsid w:val="797F0137"/>
    <w:rsid w:val="79E651FB"/>
    <w:rsid w:val="7CD0678C"/>
    <w:rsid w:val="7CDF7C7E"/>
    <w:rsid w:val="7D053C99"/>
    <w:rsid w:val="7E2608C2"/>
    <w:rsid w:val="7E3D1D07"/>
    <w:rsid w:val="7F8709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alloon Text"/>
    <w:basedOn w:val="1"/>
    <w:unhideWhenUsed/>
    <w:qFormat/>
    <w:uiPriority w:val="99"/>
    <w:rPr>
      <w:sz w:val="18"/>
      <w:szCs w:val="18"/>
    </w:rPr>
  </w:style>
  <w:style w:type="paragraph" w:styleId="3">
    <w:name w:val="Normal Indent"/>
    <w:basedOn w:val="1"/>
    <w:qFormat/>
    <w:uiPriority w:val="0"/>
    <w:pPr>
      <w:ind w:firstLine="420" w:firstLineChars="200"/>
    </w:pPr>
    <w:rPr>
      <w:rFonts w:ascii="Calibri" w:hAnsi="Calibri"/>
    </w:rPr>
  </w:style>
  <w:style w:type="paragraph" w:styleId="4">
    <w:name w:val="annotation text"/>
    <w:basedOn w:val="1"/>
    <w:qFormat/>
    <w:uiPriority w:val="0"/>
    <w:pPr>
      <w:jc w:val="left"/>
    </w:p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rPr>
      <w:rFonts w:ascii="Calibri" w:hAnsi="Calibri" w:eastAsia="宋体"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2259</Words>
  <Characters>2463</Characters>
  <Lines>0</Lines>
  <Paragraphs>0</Paragraphs>
  <TotalTime>14</TotalTime>
  <ScaleCrop>false</ScaleCrop>
  <LinksUpToDate>false</LinksUpToDate>
  <CharactersWithSpaces>2474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2024-06-27T13:49:00Z</dcterms:created>
  <dc:creator>lenovo</dc:creator>
  <cp:lastModifiedBy>小皮~万花筒的童年</cp:lastModifiedBy>
  <cp:lastPrinted>2025-06-06T08:17:48Z</cp:lastPrinted>
  <dcterms:modified xsi:type="dcterms:W3CDTF">2025-06-06T09:00:14Z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eyJoZGlkIjoiMThmNzEwYzQzZWViY2RmODU4NTc3NTk3ZGU3NmY5MzgiLCJ1c2VySWQiOiIzNzk0OTEzMDEifQ==</vt:lpwstr>
  </property>
  <property fmtid="{D5CDD505-2E9C-101B-9397-08002B2CF9AE}" pid="4" name="ICV">
    <vt:lpwstr>E56C6A44C8134A258E70CAD5B5C272C4_12</vt:lpwstr>
  </property>
</Properties>
</file>